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D64CE" w14:textId="77777777" w:rsidR="008818B1" w:rsidRPr="00E57C84" w:rsidRDefault="008818B1" w:rsidP="008818B1">
      <w:pPr>
        <w:rPr>
          <w:rFonts w:cstheme="minorHAnsi"/>
          <w:sz w:val="24"/>
          <w:szCs w:val="24"/>
        </w:rPr>
      </w:pPr>
    </w:p>
    <w:p w14:paraId="3A19C998" w14:textId="77777777" w:rsidR="008818B1" w:rsidRPr="00E57C84" w:rsidRDefault="008818B1" w:rsidP="008818B1">
      <w:pPr>
        <w:rPr>
          <w:rFonts w:cstheme="minorHAnsi"/>
          <w:sz w:val="24"/>
          <w:szCs w:val="24"/>
        </w:rPr>
      </w:pPr>
    </w:p>
    <w:p w14:paraId="69C59E3D" w14:textId="061D81A2" w:rsidR="008818B1" w:rsidRPr="00E57C84" w:rsidRDefault="008818B1" w:rsidP="008818B1">
      <w:pPr>
        <w:jc w:val="center"/>
        <w:rPr>
          <w:rFonts w:cstheme="minorHAnsi"/>
          <w:sz w:val="32"/>
          <w:szCs w:val="32"/>
        </w:rPr>
      </w:pPr>
      <w:r w:rsidRPr="00E57C84">
        <w:rPr>
          <w:rStyle w:val="A0"/>
          <w:rFonts w:cstheme="minorHAnsi"/>
          <w:sz w:val="32"/>
          <w:szCs w:val="32"/>
        </w:rPr>
        <w:t>THE QUOTED COMPANIES ALLIANCE’S TEN PRINCIPLES OF CORPORATE GOVERNANCE</w:t>
      </w:r>
      <w:r w:rsidR="000E7868">
        <w:rPr>
          <w:rStyle w:val="A0"/>
          <w:rFonts w:cstheme="minorHAnsi"/>
          <w:sz w:val="32"/>
          <w:szCs w:val="32"/>
        </w:rPr>
        <w:t xml:space="preserve"> AND HOW CALEDONIA APPLIES THEM</w:t>
      </w:r>
    </w:p>
    <w:p w14:paraId="0A64BBFA" w14:textId="77777777" w:rsidR="008818B1" w:rsidRPr="00E57C84" w:rsidRDefault="008818B1" w:rsidP="008818B1">
      <w:pPr>
        <w:pStyle w:val="Pa0"/>
        <w:rPr>
          <w:rFonts w:asciiTheme="minorHAnsi" w:hAnsiTheme="minorHAnsi" w:cstheme="minorHAnsi"/>
        </w:rPr>
      </w:pPr>
    </w:p>
    <w:p w14:paraId="4FF6D389" w14:textId="466E3098" w:rsidR="008F1898" w:rsidRPr="00B36D37" w:rsidRDefault="008818B1" w:rsidP="008818B1">
      <w:pPr>
        <w:pStyle w:val="Pa0"/>
        <w:jc w:val="both"/>
        <w:rPr>
          <w:rFonts w:asciiTheme="minorHAnsi" w:hAnsiTheme="minorHAnsi" w:cstheme="minorHAnsi"/>
        </w:rPr>
      </w:pPr>
      <w:r w:rsidRPr="00B36D37">
        <w:rPr>
          <w:rFonts w:asciiTheme="minorHAnsi" w:hAnsiTheme="minorHAnsi" w:cstheme="minorHAnsi"/>
        </w:rPr>
        <w:t>Caledonia Mining Corporation Plc (</w:t>
      </w:r>
      <w:r w:rsidR="005666DC" w:rsidRPr="00B36D37">
        <w:rPr>
          <w:rFonts w:asciiTheme="minorHAnsi" w:hAnsiTheme="minorHAnsi" w:cstheme="minorHAnsi"/>
        </w:rPr>
        <w:t xml:space="preserve">“Caledonia” or </w:t>
      </w:r>
      <w:r w:rsidR="00B0230B" w:rsidRPr="00B36D37">
        <w:rPr>
          <w:rFonts w:asciiTheme="minorHAnsi" w:hAnsiTheme="minorHAnsi" w:cstheme="minorHAnsi"/>
        </w:rPr>
        <w:t>“</w:t>
      </w:r>
      <w:r w:rsidRPr="00B36D37">
        <w:rPr>
          <w:rFonts w:asciiTheme="minorHAnsi" w:hAnsiTheme="minorHAnsi" w:cstheme="minorHAnsi"/>
        </w:rPr>
        <w:t>the Company</w:t>
      </w:r>
      <w:r w:rsidR="005666DC" w:rsidRPr="00B36D37">
        <w:rPr>
          <w:rFonts w:asciiTheme="minorHAnsi" w:hAnsiTheme="minorHAnsi" w:cstheme="minorHAnsi"/>
        </w:rPr>
        <w:t>”</w:t>
      </w:r>
      <w:r w:rsidRPr="00B36D37">
        <w:rPr>
          <w:rFonts w:asciiTheme="minorHAnsi" w:hAnsiTheme="minorHAnsi" w:cstheme="minorHAnsi"/>
        </w:rPr>
        <w:t xml:space="preserve">) has adopted the Quoted Companies Alliance Corporate Governance Code (the </w:t>
      </w:r>
      <w:r w:rsidR="005666DC" w:rsidRPr="00B36D37">
        <w:rPr>
          <w:rFonts w:asciiTheme="minorHAnsi" w:hAnsiTheme="minorHAnsi" w:cstheme="minorHAnsi"/>
        </w:rPr>
        <w:t>“</w:t>
      </w:r>
      <w:r w:rsidRPr="00B36D37">
        <w:rPr>
          <w:rFonts w:asciiTheme="minorHAnsi" w:hAnsiTheme="minorHAnsi" w:cstheme="minorHAnsi"/>
        </w:rPr>
        <w:t>Code</w:t>
      </w:r>
      <w:r w:rsidR="005666DC" w:rsidRPr="00B36D37">
        <w:rPr>
          <w:rFonts w:asciiTheme="minorHAnsi" w:hAnsiTheme="minorHAnsi" w:cstheme="minorHAnsi"/>
        </w:rPr>
        <w:t>”</w:t>
      </w:r>
      <w:r w:rsidRPr="00B36D37">
        <w:rPr>
          <w:rFonts w:asciiTheme="minorHAnsi" w:hAnsiTheme="minorHAnsi" w:cstheme="minorHAnsi"/>
        </w:rPr>
        <w:t>). The ten principles of the Code are described below together with a</w:t>
      </w:r>
      <w:r w:rsidR="009E40E1" w:rsidRPr="00B36D37">
        <w:rPr>
          <w:rFonts w:asciiTheme="minorHAnsi" w:hAnsiTheme="minorHAnsi" w:cstheme="minorHAnsi"/>
        </w:rPr>
        <w:t>n</w:t>
      </w:r>
      <w:r w:rsidRPr="00B36D37">
        <w:rPr>
          <w:rFonts w:asciiTheme="minorHAnsi" w:hAnsiTheme="minorHAnsi" w:cstheme="minorHAnsi"/>
        </w:rPr>
        <w:t xml:space="preserve"> explanation of how the Company applies the </w:t>
      </w:r>
      <w:r w:rsidR="009E40E1" w:rsidRPr="00B36D37">
        <w:rPr>
          <w:rFonts w:asciiTheme="minorHAnsi" w:hAnsiTheme="minorHAnsi" w:cstheme="minorHAnsi"/>
        </w:rPr>
        <w:t>principles</w:t>
      </w:r>
      <w:r w:rsidRPr="00B36D37">
        <w:rPr>
          <w:rFonts w:asciiTheme="minorHAnsi" w:hAnsiTheme="minorHAnsi" w:cstheme="minorHAnsi"/>
        </w:rPr>
        <w:t>.</w:t>
      </w:r>
      <w:r w:rsidR="00221CE9" w:rsidRPr="00B36D37">
        <w:rPr>
          <w:rFonts w:asciiTheme="minorHAnsi" w:hAnsiTheme="minorHAnsi" w:cstheme="minorHAnsi"/>
        </w:rPr>
        <w:t xml:space="preserve">  </w:t>
      </w:r>
      <w:r w:rsidRPr="00B36D37">
        <w:rPr>
          <w:rFonts w:asciiTheme="minorHAnsi" w:hAnsiTheme="minorHAnsi" w:cstheme="minorHAnsi"/>
        </w:rPr>
        <w:t xml:space="preserve"> </w:t>
      </w:r>
    </w:p>
    <w:p w14:paraId="5AE9A996" w14:textId="77777777" w:rsidR="008F1898" w:rsidRPr="00B36D37" w:rsidRDefault="008F1898" w:rsidP="008818B1">
      <w:pPr>
        <w:pStyle w:val="Pa0"/>
        <w:jc w:val="both"/>
        <w:rPr>
          <w:rFonts w:asciiTheme="minorHAnsi" w:hAnsiTheme="minorHAnsi" w:cstheme="minorHAnsi"/>
        </w:rPr>
      </w:pPr>
    </w:p>
    <w:p w14:paraId="30A4A520" w14:textId="2BE783AD" w:rsidR="00CA6F77" w:rsidRPr="00800453" w:rsidRDefault="008F1898" w:rsidP="00800453">
      <w:pPr>
        <w:pStyle w:val="Pa0"/>
        <w:jc w:val="both"/>
        <w:rPr>
          <w:rFonts w:asciiTheme="minorHAnsi" w:hAnsiTheme="minorHAnsi" w:cstheme="minorHAnsi"/>
        </w:rPr>
      </w:pPr>
      <w:r w:rsidRPr="00B36D37">
        <w:rPr>
          <w:rFonts w:asciiTheme="minorHAnsi" w:hAnsiTheme="minorHAnsi" w:cstheme="minorHAnsi"/>
        </w:rPr>
        <w:t>In addition to the disclosures set out below against the principles, the correct application of the Code requires that the Chair provides a clear explanation of how the Company applies the Code (the corporate governance statement)</w:t>
      </w:r>
      <w:r w:rsidR="00003625" w:rsidRPr="00B36D37">
        <w:rPr>
          <w:rFonts w:asciiTheme="minorHAnsi" w:hAnsiTheme="minorHAnsi" w:cstheme="minorHAnsi"/>
        </w:rPr>
        <w:t>:</w:t>
      </w:r>
    </w:p>
    <w:p w14:paraId="5B96B52D" w14:textId="77777777" w:rsidR="00800453" w:rsidRDefault="00800453" w:rsidP="00003625">
      <w:pPr>
        <w:rPr>
          <w:b/>
          <w:bCs/>
          <w:sz w:val="24"/>
          <w:szCs w:val="24"/>
        </w:rPr>
      </w:pPr>
    </w:p>
    <w:p w14:paraId="5FAE9546" w14:textId="6BB360D5" w:rsidR="00003625" w:rsidRPr="00821F69" w:rsidRDefault="00003625" w:rsidP="00003625">
      <w:pPr>
        <w:rPr>
          <w:b/>
          <w:bCs/>
          <w:sz w:val="24"/>
          <w:szCs w:val="24"/>
        </w:rPr>
      </w:pPr>
      <w:r w:rsidRPr="00821F69">
        <w:rPr>
          <w:b/>
          <w:bCs/>
          <w:sz w:val="24"/>
          <w:szCs w:val="24"/>
        </w:rPr>
        <w:t>CHAIR’S CORPORATE GOVERNANCE STATEMENT</w:t>
      </w:r>
    </w:p>
    <w:p w14:paraId="7A9891C3" w14:textId="1AAA62AA" w:rsidR="00633653" w:rsidRPr="00633653" w:rsidRDefault="00003625" w:rsidP="00633653">
      <w:pPr>
        <w:rPr>
          <w:sz w:val="24"/>
          <w:szCs w:val="24"/>
        </w:rPr>
      </w:pPr>
      <w:r w:rsidRPr="009F2C1F">
        <w:rPr>
          <w:sz w:val="24"/>
          <w:szCs w:val="24"/>
        </w:rPr>
        <w:t>“</w:t>
      </w:r>
      <w:r w:rsidR="00633653" w:rsidRPr="00633653">
        <w:rPr>
          <w:sz w:val="24"/>
          <w:szCs w:val="24"/>
        </w:rPr>
        <w:t xml:space="preserve">As Chair of Caledonia Mining Corporation Plc, I am pleased to present our Corporate Governance Statement for the year ended </w:t>
      </w:r>
      <w:r w:rsidR="00257964" w:rsidRPr="00633653">
        <w:rPr>
          <w:sz w:val="24"/>
          <w:szCs w:val="24"/>
        </w:rPr>
        <w:t>202</w:t>
      </w:r>
      <w:r w:rsidR="00257964">
        <w:rPr>
          <w:sz w:val="24"/>
          <w:szCs w:val="24"/>
        </w:rPr>
        <w:t xml:space="preserve">5 </w:t>
      </w:r>
      <w:r w:rsidR="00CB4B67">
        <w:rPr>
          <w:sz w:val="24"/>
          <w:szCs w:val="24"/>
        </w:rPr>
        <w:t>on behalf of my fellow directors (“Directors”)</w:t>
      </w:r>
      <w:r w:rsidR="00633653" w:rsidRPr="00633653">
        <w:rPr>
          <w:sz w:val="24"/>
          <w:szCs w:val="24"/>
        </w:rPr>
        <w:t>. Our commitment to strong governance is fundamental to our strategy, our values, and our long-term success in Africa’s gold mining sector.</w:t>
      </w:r>
    </w:p>
    <w:p w14:paraId="1FF52AAA" w14:textId="77777777" w:rsidR="000005F4" w:rsidRDefault="00633653" w:rsidP="00633653">
      <w:pPr>
        <w:rPr>
          <w:sz w:val="24"/>
          <w:szCs w:val="24"/>
        </w:rPr>
      </w:pPr>
      <w:r w:rsidRPr="00633653">
        <w:rPr>
          <w:sz w:val="24"/>
          <w:szCs w:val="24"/>
        </w:rPr>
        <w:t>Caledonia operates in a complex and dynamic environment, and our governance framework is designed to support sustainable growth, manage risk, and uphold the trust of our shareholders, employees, and host communities. Notwithstanding adherence by the Company to the governance laws and principles that are relevant to the Company by virtue of its multi-jurisdictional operating environment, we continue to apply the principles of the Code, which provides a practical and proportionate framework for AIM-listed companies like ours.</w:t>
      </w:r>
    </w:p>
    <w:p w14:paraId="1CD40F99" w14:textId="751C0F77" w:rsidR="00003625" w:rsidRPr="009F2C1F" w:rsidRDefault="00003625" w:rsidP="00633653">
      <w:pPr>
        <w:rPr>
          <w:sz w:val="24"/>
          <w:szCs w:val="24"/>
        </w:rPr>
      </w:pPr>
      <w:r w:rsidRPr="009F2C1F">
        <w:rPr>
          <w:sz w:val="24"/>
          <w:szCs w:val="24"/>
        </w:rPr>
        <w:t>The Code</w:t>
      </w:r>
      <w:r w:rsidR="00C1663F">
        <w:rPr>
          <w:sz w:val="24"/>
          <w:szCs w:val="24"/>
        </w:rPr>
        <w:t xml:space="preserve">, which was </w:t>
      </w:r>
      <w:r w:rsidR="00310828">
        <w:rPr>
          <w:sz w:val="24"/>
          <w:szCs w:val="24"/>
        </w:rPr>
        <w:t>recently updated</w:t>
      </w:r>
      <w:r w:rsidR="00C1663F">
        <w:rPr>
          <w:sz w:val="24"/>
          <w:szCs w:val="24"/>
        </w:rPr>
        <w:t>,</w:t>
      </w:r>
      <w:r w:rsidRPr="009F2C1F">
        <w:rPr>
          <w:sz w:val="24"/>
          <w:szCs w:val="24"/>
        </w:rPr>
        <w:t xml:space="preserve"> sets out best practices for small to medium companies and we have outlined the ten principles of the Code and explained how the Company has applied them in the </w:t>
      </w:r>
      <w:r w:rsidR="001B14B4">
        <w:rPr>
          <w:sz w:val="24"/>
          <w:szCs w:val="24"/>
        </w:rPr>
        <w:t>table below</w:t>
      </w:r>
      <w:r w:rsidRPr="009F2C1F">
        <w:rPr>
          <w:sz w:val="24"/>
          <w:szCs w:val="24"/>
        </w:rPr>
        <w:t>.</w:t>
      </w:r>
    </w:p>
    <w:p w14:paraId="7113E40D" w14:textId="721EA8B0" w:rsidR="00083141" w:rsidRDefault="00083141" w:rsidP="00003625">
      <w:pPr>
        <w:rPr>
          <w:sz w:val="24"/>
          <w:szCs w:val="24"/>
        </w:rPr>
      </w:pPr>
      <w:r w:rsidRPr="00083141">
        <w:rPr>
          <w:sz w:val="24"/>
          <w:szCs w:val="24"/>
        </w:rPr>
        <w:t xml:space="preserve">Our </w:t>
      </w:r>
      <w:r w:rsidR="00AB1DEE">
        <w:rPr>
          <w:sz w:val="24"/>
          <w:szCs w:val="24"/>
        </w:rPr>
        <w:t xml:space="preserve">board of </w:t>
      </w:r>
      <w:r w:rsidR="006A5B8E">
        <w:rPr>
          <w:sz w:val="24"/>
          <w:szCs w:val="24"/>
        </w:rPr>
        <w:t xml:space="preserve">Directors </w:t>
      </w:r>
      <w:r w:rsidR="00AB1DEE">
        <w:rPr>
          <w:sz w:val="24"/>
          <w:szCs w:val="24"/>
        </w:rPr>
        <w:t xml:space="preserve">(“the Board”) </w:t>
      </w:r>
      <w:r w:rsidR="00AB1DEE" w:rsidRPr="00083141">
        <w:rPr>
          <w:sz w:val="24"/>
          <w:szCs w:val="24"/>
        </w:rPr>
        <w:t>remains</w:t>
      </w:r>
      <w:r w:rsidRPr="00083141">
        <w:rPr>
          <w:sz w:val="24"/>
          <w:szCs w:val="24"/>
        </w:rPr>
        <w:t xml:space="preserve"> focused on delivering long-term value through disciplined capital allocation, risk management and strategic oversight. The successful ramp-up of the Central Shaft at Blanket Mine and the acquisition</w:t>
      </w:r>
      <w:r w:rsidR="00640A2E">
        <w:rPr>
          <w:sz w:val="24"/>
          <w:szCs w:val="24"/>
        </w:rPr>
        <w:t>s</w:t>
      </w:r>
      <w:r w:rsidRPr="00083141">
        <w:rPr>
          <w:sz w:val="24"/>
          <w:szCs w:val="24"/>
        </w:rPr>
        <w:t xml:space="preserve"> of the Bilboes</w:t>
      </w:r>
      <w:r w:rsidR="00640A2E">
        <w:rPr>
          <w:sz w:val="24"/>
          <w:szCs w:val="24"/>
        </w:rPr>
        <w:t>, Motapa and Maligreen</w:t>
      </w:r>
      <w:r w:rsidRPr="00083141">
        <w:rPr>
          <w:sz w:val="24"/>
          <w:szCs w:val="24"/>
        </w:rPr>
        <w:t xml:space="preserve"> project</w:t>
      </w:r>
      <w:r w:rsidR="00640A2E">
        <w:rPr>
          <w:sz w:val="24"/>
          <w:szCs w:val="24"/>
        </w:rPr>
        <w:t>s</w:t>
      </w:r>
      <w:r w:rsidRPr="00083141">
        <w:rPr>
          <w:sz w:val="24"/>
          <w:szCs w:val="24"/>
        </w:rPr>
        <w:t xml:space="preserve"> are key milestones that reflect </w:t>
      </w:r>
      <w:r w:rsidR="009A1403">
        <w:rPr>
          <w:sz w:val="24"/>
          <w:szCs w:val="24"/>
        </w:rPr>
        <w:t>the Company’s</w:t>
      </w:r>
      <w:r w:rsidRPr="00083141">
        <w:rPr>
          <w:sz w:val="24"/>
          <w:szCs w:val="24"/>
        </w:rPr>
        <w:t xml:space="preserve"> strategic ambition and execution capability.</w:t>
      </w:r>
    </w:p>
    <w:p w14:paraId="0E671A81" w14:textId="48F40CE3" w:rsidR="00003625" w:rsidRPr="009F2C1F" w:rsidRDefault="00003625" w:rsidP="00003625">
      <w:pPr>
        <w:rPr>
          <w:sz w:val="24"/>
          <w:szCs w:val="24"/>
        </w:rPr>
      </w:pPr>
      <w:r w:rsidRPr="009F2C1F">
        <w:rPr>
          <w:sz w:val="24"/>
          <w:szCs w:val="24"/>
        </w:rPr>
        <w:lastRenderedPageBreak/>
        <w:t xml:space="preserve">The </w:t>
      </w:r>
      <w:r w:rsidR="009A1403">
        <w:rPr>
          <w:sz w:val="24"/>
          <w:szCs w:val="24"/>
        </w:rPr>
        <w:t>Board</w:t>
      </w:r>
      <w:r w:rsidR="009A1403" w:rsidRPr="009F2C1F">
        <w:rPr>
          <w:sz w:val="24"/>
          <w:szCs w:val="24"/>
        </w:rPr>
        <w:t xml:space="preserve"> </w:t>
      </w:r>
      <w:r w:rsidRPr="009F2C1F">
        <w:rPr>
          <w:sz w:val="24"/>
          <w:szCs w:val="24"/>
        </w:rPr>
        <w:t xml:space="preserve">has </w:t>
      </w:r>
      <w:r w:rsidR="00CC48E9">
        <w:rPr>
          <w:sz w:val="24"/>
          <w:szCs w:val="24"/>
        </w:rPr>
        <w:t>two</w:t>
      </w:r>
      <w:r w:rsidR="00CC48E9" w:rsidRPr="009F2C1F">
        <w:rPr>
          <w:sz w:val="24"/>
          <w:szCs w:val="24"/>
        </w:rPr>
        <w:t xml:space="preserve"> </w:t>
      </w:r>
      <w:r w:rsidRPr="009F2C1F">
        <w:rPr>
          <w:sz w:val="24"/>
          <w:szCs w:val="24"/>
        </w:rPr>
        <w:t xml:space="preserve">executive Directors and </w:t>
      </w:r>
      <w:r w:rsidR="002B0BC5">
        <w:rPr>
          <w:sz w:val="24"/>
          <w:szCs w:val="24"/>
        </w:rPr>
        <w:t>eight</w:t>
      </w:r>
      <w:r w:rsidR="002B0BC5" w:rsidRPr="009F2C1F">
        <w:rPr>
          <w:sz w:val="24"/>
          <w:szCs w:val="24"/>
        </w:rPr>
        <w:t xml:space="preserve"> </w:t>
      </w:r>
      <w:r w:rsidR="00FA5194" w:rsidRPr="009F2C1F">
        <w:rPr>
          <w:sz w:val="24"/>
          <w:szCs w:val="24"/>
        </w:rPr>
        <w:t xml:space="preserve">independent </w:t>
      </w:r>
      <w:r w:rsidRPr="009F2C1F">
        <w:rPr>
          <w:sz w:val="24"/>
          <w:szCs w:val="24"/>
        </w:rPr>
        <w:t xml:space="preserve">non-executive Directors, thus ensuring a </w:t>
      </w:r>
      <w:r w:rsidR="00A07C59" w:rsidRPr="009F2C1F">
        <w:rPr>
          <w:sz w:val="24"/>
          <w:szCs w:val="24"/>
        </w:rPr>
        <w:t>majority</w:t>
      </w:r>
      <w:r w:rsidRPr="009F2C1F">
        <w:rPr>
          <w:sz w:val="24"/>
          <w:szCs w:val="24"/>
        </w:rPr>
        <w:t xml:space="preserve"> of independent views on the Board. All major decisions relating to the business are made by the Board as a whole, supported by the work of its </w:t>
      </w:r>
      <w:r w:rsidR="006A5B8E">
        <w:rPr>
          <w:sz w:val="24"/>
          <w:szCs w:val="24"/>
        </w:rPr>
        <w:t>c</w:t>
      </w:r>
      <w:r w:rsidR="006A5B8E" w:rsidRPr="009F2C1F">
        <w:rPr>
          <w:sz w:val="24"/>
          <w:szCs w:val="24"/>
        </w:rPr>
        <w:t xml:space="preserve">ommittees </w:t>
      </w:r>
      <w:r w:rsidR="006A5B8E">
        <w:rPr>
          <w:sz w:val="24"/>
          <w:szCs w:val="24"/>
        </w:rPr>
        <w:t xml:space="preserve">(“the Committees”) </w:t>
      </w:r>
      <w:r w:rsidRPr="009F2C1F">
        <w:rPr>
          <w:sz w:val="24"/>
          <w:szCs w:val="24"/>
        </w:rPr>
        <w:t>and their recommendations. The Board will continue to review the composition of the Board and its Committees as the Company grows and evolves.</w:t>
      </w:r>
    </w:p>
    <w:p w14:paraId="24708A00" w14:textId="2B9902D4" w:rsidR="00003625" w:rsidRPr="009F2C1F" w:rsidRDefault="00003625" w:rsidP="00003625">
      <w:pPr>
        <w:rPr>
          <w:sz w:val="24"/>
          <w:szCs w:val="24"/>
        </w:rPr>
      </w:pPr>
      <w:r w:rsidRPr="009F2C1F">
        <w:rPr>
          <w:sz w:val="24"/>
          <w:szCs w:val="24"/>
        </w:rPr>
        <w:t xml:space="preserve">The Directors have a wealth of experience from diverse professional and personal backgrounds. I am responsible for leading the Board, including ensuring that an appropriate level of diversity is maintained to promote distinct perspectives, and for implementing a robust governance framework. The CEO is responsible for </w:t>
      </w:r>
      <w:r w:rsidR="007B42C1">
        <w:rPr>
          <w:sz w:val="24"/>
          <w:szCs w:val="24"/>
        </w:rPr>
        <w:t>executing</w:t>
      </w:r>
      <w:r w:rsidR="0030171F" w:rsidRPr="009F2C1F">
        <w:rPr>
          <w:sz w:val="24"/>
          <w:szCs w:val="24"/>
        </w:rPr>
        <w:t xml:space="preserve"> the </w:t>
      </w:r>
      <w:r w:rsidR="00E54CCE" w:rsidRPr="009F2C1F">
        <w:rPr>
          <w:sz w:val="24"/>
          <w:szCs w:val="24"/>
        </w:rPr>
        <w:t>strategy of the business</w:t>
      </w:r>
      <w:r w:rsidRPr="009F2C1F">
        <w:rPr>
          <w:sz w:val="24"/>
          <w:szCs w:val="24"/>
        </w:rPr>
        <w:t xml:space="preserve"> and for ensuring that the Company’s business model is implemented effectively and in line with the Company’s values.</w:t>
      </w:r>
    </w:p>
    <w:p w14:paraId="4F910829" w14:textId="77777777" w:rsidR="00867C6D" w:rsidRDefault="00003625" w:rsidP="00003625">
      <w:pPr>
        <w:rPr>
          <w:sz w:val="24"/>
          <w:szCs w:val="24"/>
        </w:rPr>
      </w:pPr>
      <w:r w:rsidRPr="009F2C1F">
        <w:rPr>
          <w:sz w:val="24"/>
          <w:szCs w:val="24"/>
        </w:rPr>
        <w:t xml:space="preserve">The Board meets at least quarterly and as required from time to time to consider specific issues required for decision by the Board. Amongst other things, the Board is responsible for setting the Company strategy, ensuring corporate governance is of an appropriate standard, </w:t>
      </w:r>
      <w:r w:rsidR="003C7733" w:rsidRPr="009F2C1F">
        <w:rPr>
          <w:sz w:val="24"/>
          <w:szCs w:val="24"/>
        </w:rPr>
        <w:t xml:space="preserve">approving </w:t>
      </w:r>
      <w:r w:rsidRPr="009F2C1F">
        <w:rPr>
          <w:sz w:val="24"/>
          <w:szCs w:val="24"/>
        </w:rPr>
        <w:t>the business plan</w:t>
      </w:r>
      <w:r w:rsidR="007B42C1">
        <w:rPr>
          <w:sz w:val="24"/>
          <w:szCs w:val="24"/>
        </w:rPr>
        <w:t>,</w:t>
      </w:r>
      <w:r w:rsidRPr="009F2C1F">
        <w:rPr>
          <w:sz w:val="24"/>
          <w:szCs w:val="24"/>
        </w:rPr>
        <w:t xml:space="preserve"> </w:t>
      </w:r>
      <w:r w:rsidR="003C7733" w:rsidRPr="009F2C1F">
        <w:rPr>
          <w:sz w:val="24"/>
          <w:szCs w:val="24"/>
        </w:rPr>
        <w:t xml:space="preserve">appointing </w:t>
      </w:r>
      <w:r w:rsidRPr="009F2C1F">
        <w:rPr>
          <w:sz w:val="24"/>
          <w:szCs w:val="24"/>
        </w:rPr>
        <w:t>the CEO</w:t>
      </w:r>
      <w:r w:rsidR="007B42C1">
        <w:rPr>
          <w:sz w:val="24"/>
          <w:szCs w:val="24"/>
        </w:rPr>
        <w:t xml:space="preserve"> and approving the appointment of executive officers</w:t>
      </w:r>
      <w:r w:rsidRPr="009F2C1F">
        <w:rPr>
          <w:sz w:val="24"/>
          <w:szCs w:val="24"/>
        </w:rPr>
        <w:t>. The Board reviews key business risks regularly, including the financial and non-financial risks facing the business.</w:t>
      </w:r>
    </w:p>
    <w:p w14:paraId="22198BB4" w14:textId="77777777" w:rsidR="00C1657B" w:rsidRPr="00C1657B" w:rsidRDefault="00C1657B" w:rsidP="00C1657B">
      <w:pPr>
        <w:rPr>
          <w:sz w:val="24"/>
          <w:szCs w:val="24"/>
        </w:rPr>
      </w:pPr>
      <w:r w:rsidRPr="00C1657B">
        <w:rPr>
          <w:sz w:val="24"/>
          <w:szCs w:val="24"/>
        </w:rPr>
        <w:t>As we expand our footprint in Zimbabwe and pursue new opportunities, our governance practices will evolve to meet the demands of a growing and increasingly complex business. We remain committed to the principles of accountability, integrity, and stakeholder engagement.</w:t>
      </w:r>
    </w:p>
    <w:p w14:paraId="0C6AF240" w14:textId="1E80F062" w:rsidR="00003625" w:rsidRPr="009F2C1F" w:rsidRDefault="00C1657B" w:rsidP="00003625">
      <w:pPr>
        <w:rPr>
          <w:sz w:val="24"/>
          <w:szCs w:val="24"/>
        </w:rPr>
      </w:pPr>
      <w:r w:rsidRPr="00C1657B">
        <w:rPr>
          <w:sz w:val="24"/>
          <w:szCs w:val="24"/>
        </w:rPr>
        <w:t xml:space="preserve">On behalf of the Board, I thank our shareholders for their continued support and our </w:t>
      </w:r>
      <w:r w:rsidR="00123225">
        <w:rPr>
          <w:sz w:val="24"/>
          <w:szCs w:val="24"/>
        </w:rPr>
        <w:t>staff</w:t>
      </w:r>
      <w:r w:rsidRPr="00C1657B">
        <w:rPr>
          <w:sz w:val="24"/>
          <w:szCs w:val="24"/>
        </w:rPr>
        <w:t xml:space="preserve"> for their dedication and </w:t>
      </w:r>
      <w:r w:rsidR="00FE0998">
        <w:rPr>
          <w:sz w:val="24"/>
          <w:szCs w:val="24"/>
        </w:rPr>
        <w:t>hard work</w:t>
      </w:r>
      <w:r w:rsidRPr="00C1657B">
        <w:rPr>
          <w:sz w:val="24"/>
          <w:szCs w:val="24"/>
        </w:rPr>
        <w:t>.</w:t>
      </w:r>
      <w:r w:rsidR="00003625" w:rsidRPr="009F2C1F">
        <w:rPr>
          <w:sz w:val="24"/>
          <w:szCs w:val="24"/>
        </w:rPr>
        <w:t>”</w:t>
      </w:r>
    </w:p>
    <w:p w14:paraId="7DDC4954" w14:textId="61DC4F74" w:rsidR="00003625" w:rsidRPr="00821F69" w:rsidRDefault="003C7733" w:rsidP="00003625">
      <w:pPr>
        <w:rPr>
          <w:b/>
          <w:bCs/>
          <w:sz w:val="24"/>
          <w:szCs w:val="24"/>
        </w:rPr>
      </w:pPr>
      <w:r w:rsidRPr="00821F69">
        <w:rPr>
          <w:b/>
          <w:bCs/>
          <w:sz w:val="24"/>
          <w:szCs w:val="24"/>
        </w:rPr>
        <w:t>John L Kelly</w:t>
      </w:r>
    </w:p>
    <w:p w14:paraId="240AC5ED" w14:textId="77777777" w:rsidR="006E47DF" w:rsidRDefault="00EF70FD" w:rsidP="00003625">
      <w:pPr>
        <w:rPr>
          <w:b/>
          <w:bCs/>
          <w:sz w:val="24"/>
          <w:szCs w:val="24"/>
        </w:rPr>
      </w:pPr>
      <w:r w:rsidRPr="00EF70FD">
        <w:rPr>
          <w:b/>
          <w:bCs/>
          <w:sz w:val="24"/>
          <w:szCs w:val="24"/>
        </w:rPr>
        <w:t xml:space="preserve">Chair of the Board </w:t>
      </w:r>
    </w:p>
    <w:p w14:paraId="32C22163" w14:textId="07C1774F" w:rsidR="00EF70FD" w:rsidRDefault="00EF70FD" w:rsidP="00003625">
      <w:pPr>
        <w:rPr>
          <w:b/>
          <w:bCs/>
          <w:sz w:val="24"/>
          <w:szCs w:val="24"/>
        </w:rPr>
      </w:pPr>
      <w:r w:rsidRPr="00EF70FD">
        <w:rPr>
          <w:b/>
          <w:bCs/>
          <w:sz w:val="24"/>
          <w:szCs w:val="24"/>
        </w:rPr>
        <w:t xml:space="preserve">Caledonia Mining Corporation Plc </w:t>
      </w:r>
    </w:p>
    <w:p w14:paraId="2E214F61" w14:textId="2220999F" w:rsidR="00003625" w:rsidRPr="00821F69" w:rsidRDefault="00767220" w:rsidP="00003625">
      <w:pPr>
        <w:rPr>
          <w:b/>
          <w:bCs/>
          <w:sz w:val="24"/>
          <w:szCs w:val="24"/>
        </w:rPr>
      </w:pPr>
      <w:r>
        <w:rPr>
          <w:b/>
          <w:bCs/>
          <w:sz w:val="24"/>
          <w:szCs w:val="24"/>
        </w:rPr>
        <w:t>March 2026</w:t>
      </w:r>
    </w:p>
    <w:p w14:paraId="3071B190" w14:textId="4F537D17" w:rsidR="00872FC5" w:rsidRDefault="00872FC5">
      <w:r>
        <w:br w:type="page"/>
      </w:r>
    </w:p>
    <w:p w14:paraId="50F2A8E8" w14:textId="77777777" w:rsidR="00B8231A" w:rsidRPr="00B8231A" w:rsidRDefault="00B8231A" w:rsidP="00B8231A"/>
    <w:tbl>
      <w:tblPr>
        <w:tblStyle w:val="TableGrid"/>
        <w:tblW w:w="14029" w:type="dxa"/>
        <w:tblLayout w:type="fixed"/>
        <w:tblLook w:val="04A0" w:firstRow="1" w:lastRow="0" w:firstColumn="1" w:lastColumn="0" w:noHBand="0" w:noVBand="1"/>
      </w:tblPr>
      <w:tblGrid>
        <w:gridCol w:w="562"/>
        <w:gridCol w:w="2977"/>
        <w:gridCol w:w="10490"/>
      </w:tblGrid>
      <w:tr w:rsidR="009E40E1" w:rsidRPr="00E57C84" w14:paraId="07EA3572" w14:textId="77777777" w:rsidTr="00800362">
        <w:tc>
          <w:tcPr>
            <w:tcW w:w="14029" w:type="dxa"/>
            <w:gridSpan w:val="3"/>
          </w:tcPr>
          <w:p w14:paraId="4EC8C995" w14:textId="56747F9E" w:rsidR="009E40E1" w:rsidRPr="00E57C84" w:rsidRDefault="009E40E1" w:rsidP="008818B1">
            <w:pPr>
              <w:rPr>
                <w:rFonts w:cstheme="minorHAnsi"/>
                <w:sz w:val="24"/>
                <w:szCs w:val="24"/>
              </w:rPr>
            </w:pPr>
            <w:r w:rsidRPr="00E57C84">
              <w:rPr>
                <w:rStyle w:val="A1"/>
                <w:rFonts w:cstheme="minorHAnsi"/>
                <w:sz w:val="24"/>
                <w:szCs w:val="24"/>
              </w:rPr>
              <w:t>DELIVER GROWTH</w:t>
            </w:r>
          </w:p>
        </w:tc>
      </w:tr>
      <w:tr w:rsidR="007878CD" w:rsidRPr="00E57C84" w14:paraId="71A5EEE9" w14:textId="77777777" w:rsidTr="00E57C84">
        <w:tc>
          <w:tcPr>
            <w:tcW w:w="3539" w:type="dxa"/>
            <w:gridSpan w:val="2"/>
          </w:tcPr>
          <w:p w14:paraId="1CDD10C0" w14:textId="63DDCFBA" w:rsidR="007878CD" w:rsidRPr="00E57C84" w:rsidRDefault="007878CD" w:rsidP="008818B1">
            <w:pPr>
              <w:rPr>
                <w:rFonts w:cstheme="minorHAnsi"/>
                <w:b/>
                <w:bCs/>
                <w:i/>
                <w:iCs/>
                <w:color w:val="000000"/>
                <w:sz w:val="24"/>
                <w:szCs w:val="24"/>
              </w:rPr>
            </w:pPr>
            <w:bookmarkStart w:id="0" w:name="_Hlk56677643"/>
            <w:r w:rsidRPr="00E57C84">
              <w:rPr>
                <w:rFonts w:cstheme="minorHAnsi"/>
                <w:b/>
                <w:bCs/>
                <w:i/>
                <w:iCs/>
                <w:color w:val="000000"/>
                <w:sz w:val="24"/>
                <w:szCs w:val="24"/>
              </w:rPr>
              <w:t>PRINCIPLE</w:t>
            </w:r>
          </w:p>
        </w:tc>
        <w:tc>
          <w:tcPr>
            <w:tcW w:w="10490" w:type="dxa"/>
          </w:tcPr>
          <w:p w14:paraId="67D8579C" w14:textId="69106BF8" w:rsidR="007878CD" w:rsidRPr="00E57C84" w:rsidRDefault="007878CD" w:rsidP="008818B1">
            <w:pPr>
              <w:rPr>
                <w:rFonts w:cstheme="minorHAnsi"/>
                <w:b/>
                <w:bCs/>
                <w:i/>
                <w:iCs/>
                <w:sz w:val="24"/>
                <w:szCs w:val="24"/>
                <w:lang w:val="en-CA"/>
              </w:rPr>
            </w:pPr>
            <w:r w:rsidRPr="00E57C84">
              <w:rPr>
                <w:rFonts w:cstheme="minorHAnsi"/>
                <w:b/>
                <w:bCs/>
                <w:i/>
                <w:iCs/>
                <w:sz w:val="24"/>
                <w:szCs w:val="24"/>
                <w:lang w:val="en-CA"/>
              </w:rPr>
              <w:t>APPLICATION</w:t>
            </w:r>
          </w:p>
        </w:tc>
      </w:tr>
      <w:bookmarkEnd w:id="0"/>
      <w:tr w:rsidR="00800362" w:rsidRPr="00E57C84" w14:paraId="04D05124" w14:textId="77777777" w:rsidTr="00221CE9">
        <w:tc>
          <w:tcPr>
            <w:tcW w:w="562" w:type="dxa"/>
          </w:tcPr>
          <w:p w14:paraId="16C8B6E6" w14:textId="77777777" w:rsidR="008818B1" w:rsidRPr="00E57C84" w:rsidRDefault="008818B1" w:rsidP="008818B1">
            <w:pPr>
              <w:pStyle w:val="ListParagraph"/>
              <w:numPr>
                <w:ilvl w:val="0"/>
                <w:numId w:val="1"/>
              </w:numPr>
              <w:ind w:hanging="720"/>
              <w:rPr>
                <w:rFonts w:cstheme="minorHAnsi"/>
                <w:color w:val="000000"/>
                <w:sz w:val="24"/>
                <w:szCs w:val="24"/>
              </w:rPr>
            </w:pPr>
          </w:p>
        </w:tc>
        <w:tc>
          <w:tcPr>
            <w:tcW w:w="2977" w:type="dxa"/>
          </w:tcPr>
          <w:p w14:paraId="4F0E6ADF" w14:textId="3F6B70C5" w:rsidR="008E702A" w:rsidRDefault="008818B1" w:rsidP="008818B1">
            <w:pPr>
              <w:rPr>
                <w:rFonts w:cstheme="minorHAnsi"/>
                <w:color w:val="000000"/>
                <w:sz w:val="24"/>
                <w:szCs w:val="24"/>
              </w:rPr>
            </w:pPr>
            <w:r w:rsidRPr="00E57C84">
              <w:rPr>
                <w:rFonts w:cstheme="minorHAnsi"/>
                <w:color w:val="000000"/>
                <w:sz w:val="24"/>
                <w:szCs w:val="24"/>
              </w:rPr>
              <w:t xml:space="preserve">Establish a </w:t>
            </w:r>
            <w:r w:rsidR="004B071C">
              <w:rPr>
                <w:rFonts w:cstheme="minorHAnsi"/>
                <w:color w:val="000000"/>
                <w:sz w:val="24"/>
                <w:szCs w:val="24"/>
              </w:rPr>
              <w:t xml:space="preserve">purpose, </w:t>
            </w:r>
            <w:r w:rsidRPr="00E57C84">
              <w:rPr>
                <w:rFonts w:cstheme="minorHAnsi"/>
                <w:color w:val="000000"/>
                <w:sz w:val="24"/>
                <w:szCs w:val="24"/>
              </w:rPr>
              <w:t>strategy and</w:t>
            </w:r>
          </w:p>
          <w:p w14:paraId="225E48CB" w14:textId="77777777" w:rsidR="008E702A" w:rsidRDefault="008818B1" w:rsidP="008818B1">
            <w:pPr>
              <w:rPr>
                <w:rFonts w:cstheme="minorHAnsi"/>
                <w:color w:val="000000"/>
                <w:sz w:val="24"/>
                <w:szCs w:val="24"/>
              </w:rPr>
            </w:pPr>
            <w:r w:rsidRPr="00E57C84">
              <w:rPr>
                <w:rFonts w:cstheme="minorHAnsi"/>
                <w:color w:val="000000"/>
                <w:sz w:val="24"/>
                <w:szCs w:val="24"/>
              </w:rPr>
              <w:t>business model which</w:t>
            </w:r>
          </w:p>
          <w:p w14:paraId="51A76BC8" w14:textId="77777777" w:rsidR="008E702A" w:rsidRDefault="008818B1" w:rsidP="008818B1">
            <w:pPr>
              <w:rPr>
                <w:rFonts w:cstheme="minorHAnsi"/>
                <w:color w:val="000000"/>
                <w:sz w:val="24"/>
                <w:szCs w:val="24"/>
              </w:rPr>
            </w:pPr>
            <w:r w:rsidRPr="00E57C84">
              <w:rPr>
                <w:rFonts w:cstheme="minorHAnsi"/>
                <w:color w:val="000000"/>
                <w:sz w:val="24"/>
                <w:szCs w:val="24"/>
              </w:rPr>
              <w:t>promote long-term value</w:t>
            </w:r>
          </w:p>
          <w:p w14:paraId="3F110180" w14:textId="3408D385" w:rsidR="008818B1" w:rsidRPr="00E57C84" w:rsidRDefault="008818B1" w:rsidP="008818B1">
            <w:pPr>
              <w:rPr>
                <w:rFonts w:cstheme="minorHAnsi"/>
                <w:sz w:val="24"/>
                <w:szCs w:val="24"/>
              </w:rPr>
            </w:pPr>
            <w:r w:rsidRPr="00E57C84">
              <w:rPr>
                <w:rFonts w:cstheme="minorHAnsi"/>
                <w:color w:val="000000"/>
                <w:sz w:val="24"/>
                <w:szCs w:val="24"/>
              </w:rPr>
              <w:t>for shareholders</w:t>
            </w:r>
          </w:p>
        </w:tc>
        <w:tc>
          <w:tcPr>
            <w:tcW w:w="10490" w:type="dxa"/>
          </w:tcPr>
          <w:p w14:paraId="7C8B4107" w14:textId="321D1B87" w:rsidR="00F50DE8" w:rsidRDefault="00181478" w:rsidP="008818B1">
            <w:pPr>
              <w:rPr>
                <w:rFonts w:cstheme="minorHAnsi"/>
                <w:sz w:val="24"/>
                <w:szCs w:val="24"/>
                <w:lang w:val="en-CA"/>
              </w:rPr>
            </w:pPr>
            <w:r>
              <w:rPr>
                <w:rFonts w:cstheme="minorHAnsi"/>
                <w:sz w:val="24"/>
                <w:szCs w:val="24"/>
                <w:lang w:val="en-CA"/>
              </w:rPr>
              <w:t xml:space="preserve">Caledonia’s purpose </w:t>
            </w:r>
            <w:r w:rsidR="005D5E10">
              <w:rPr>
                <w:rFonts w:cstheme="minorHAnsi"/>
                <w:sz w:val="24"/>
                <w:szCs w:val="24"/>
                <w:lang w:val="en-CA"/>
              </w:rPr>
              <w:t xml:space="preserve">as an extractive </w:t>
            </w:r>
            <w:r w:rsidR="00F50DE8">
              <w:rPr>
                <w:rFonts w:cstheme="minorHAnsi"/>
                <w:sz w:val="24"/>
                <w:szCs w:val="24"/>
                <w:lang w:val="en-CA"/>
              </w:rPr>
              <w:t xml:space="preserve">business is to </w:t>
            </w:r>
            <w:r w:rsidR="00006897">
              <w:rPr>
                <w:rFonts w:cstheme="minorHAnsi"/>
                <w:sz w:val="24"/>
                <w:szCs w:val="24"/>
                <w:lang w:val="en-CA"/>
              </w:rPr>
              <w:t xml:space="preserve">safely and sustainably </w:t>
            </w:r>
            <w:r w:rsidR="00F50DE8">
              <w:rPr>
                <w:rFonts w:cstheme="minorHAnsi"/>
                <w:sz w:val="24"/>
                <w:szCs w:val="24"/>
                <w:lang w:val="en-CA"/>
              </w:rPr>
              <w:t xml:space="preserve">mine, process and sell gold </w:t>
            </w:r>
            <w:r w:rsidR="00C93542">
              <w:rPr>
                <w:rFonts w:cstheme="minorHAnsi"/>
                <w:sz w:val="24"/>
                <w:szCs w:val="24"/>
                <w:lang w:val="en-CA"/>
              </w:rPr>
              <w:t>to create value for</w:t>
            </w:r>
            <w:r w:rsidR="00F50DE8">
              <w:rPr>
                <w:rFonts w:cstheme="minorHAnsi"/>
                <w:sz w:val="24"/>
                <w:szCs w:val="24"/>
                <w:lang w:val="en-CA"/>
              </w:rPr>
              <w:t xml:space="preserve"> its shareholders</w:t>
            </w:r>
            <w:r w:rsidR="00B02B12">
              <w:rPr>
                <w:rFonts w:cstheme="minorHAnsi"/>
                <w:sz w:val="24"/>
                <w:szCs w:val="24"/>
                <w:lang w:val="en-CA"/>
              </w:rPr>
              <w:t xml:space="preserve"> and other stakeholders which include its employees, the government and people of Zimbabwe</w:t>
            </w:r>
            <w:r w:rsidR="00FA678F">
              <w:rPr>
                <w:rFonts w:cstheme="minorHAnsi"/>
                <w:sz w:val="24"/>
                <w:szCs w:val="24"/>
                <w:lang w:val="en-CA"/>
              </w:rPr>
              <w:t xml:space="preserve">, </w:t>
            </w:r>
            <w:r w:rsidR="00B02FD2">
              <w:rPr>
                <w:rFonts w:cstheme="minorHAnsi"/>
                <w:sz w:val="24"/>
                <w:szCs w:val="24"/>
                <w:lang w:val="en-CA"/>
              </w:rPr>
              <w:t xml:space="preserve">and </w:t>
            </w:r>
            <w:r w:rsidR="00FA678F">
              <w:rPr>
                <w:rFonts w:cstheme="minorHAnsi"/>
                <w:sz w:val="24"/>
                <w:szCs w:val="24"/>
                <w:lang w:val="en-CA"/>
              </w:rPr>
              <w:t>the local communities in which it operates.</w:t>
            </w:r>
            <w:r w:rsidR="00F50DE8">
              <w:rPr>
                <w:rFonts w:cstheme="minorHAnsi"/>
                <w:sz w:val="24"/>
                <w:szCs w:val="24"/>
                <w:lang w:val="en-CA"/>
              </w:rPr>
              <w:t xml:space="preserve"> </w:t>
            </w:r>
          </w:p>
          <w:p w14:paraId="4A4095E1" w14:textId="77777777" w:rsidR="00F50DE8" w:rsidRDefault="00F50DE8" w:rsidP="008818B1">
            <w:pPr>
              <w:rPr>
                <w:rFonts w:cstheme="minorHAnsi"/>
                <w:sz w:val="24"/>
                <w:szCs w:val="24"/>
                <w:lang w:val="en-CA"/>
              </w:rPr>
            </w:pPr>
          </w:p>
          <w:p w14:paraId="4C2D396A" w14:textId="51A751F7" w:rsidR="005666DC" w:rsidRPr="00E57C84" w:rsidRDefault="005666DC" w:rsidP="008818B1">
            <w:pPr>
              <w:rPr>
                <w:rFonts w:cstheme="minorHAnsi"/>
                <w:sz w:val="24"/>
                <w:szCs w:val="24"/>
                <w:lang w:val="en-CA"/>
              </w:rPr>
            </w:pPr>
            <w:r w:rsidRPr="00E57C84">
              <w:rPr>
                <w:rFonts w:cstheme="minorHAnsi"/>
                <w:sz w:val="24"/>
                <w:szCs w:val="24"/>
                <w:lang w:val="en-CA"/>
              </w:rPr>
              <w:t>Caledonia is an exploration, development and mining business focused on Zimbabwe</w:t>
            </w:r>
            <w:r w:rsidR="006F5F0D">
              <w:rPr>
                <w:rFonts w:cstheme="minorHAnsi"/>
                <w:sz w:val="24"/>
                <w:szCs w:val="24"/>
                <w:lang w:val="en-CA"/>
              </w:rPr>
              <w:t>.</w:t>
            </w:r>
            <w:r w:rsidRPr="00E57C84">
              <w:rPr>
                <w:rFonts w:cstheme="minorHAnsi"/>
                <w:sz w:val="24"/>
                <w:szCs w:val="24"/>
                <w:lang w:val="en-CA"/>
              </w:rPr>
              <w:t xml:space="preserve"> </w:t>
            </w:r>
            <w:r w:rsidR="006F5F0D">
              <w:rPr>
                <w:rFonts w:cstheme="minorHAnsi"/>
                <w:sz w:val="24"/>
                <w:szCs w:val="24"/>
                <w:lang w:val="en-CA"/>
              </w:rPr>
              <w:t>Its</w:t>
            </w:r>
            <w:r w:rsidRPr="00E57C84">
              <w:rPr>
                <w:rFonts w:cstheme="minorHAnsi"/>
                <w:sz w:val="24"/>
                <w:szCs w:val="24"/>
                <w:lang w:val="en-CA"/>
              </w:rPr>
              <w:t xml:space="preserve"> primary </w:t>
            </w:r>
            <w:r w:rsidR="006F5F0D">
              <w:rPr>
                <w:rFonts w:cstheme="minorHAnsi"/>
                <w:sz w:val="24"/>
                <w:szCs w:val="24"/>
                <w:lang w:val="en-CA"/>
              </w:rPr>
              <w:t xml:space="preserve">operating </w:t>
            </w:r>
            <w:r w:rsidRPr="00E57C84">
              <w:rPr>
                <w:rFonts w:cstheme="minorHAnsi"/>
                <w:sz w:val="24"/>
                <w:szCs w:val="24"/>
                <w:lang w:val="en-CA"/>
              </w:rPr>
              <w:t xml:space="preserve">asset is a 64% ownership in Blanket Mine (“Blanket”), an operating gold mine in Zimbabwe. </w:t>
            </w:r>
          </w:p>
          <w:p w14:paraId="71D57754" w14:textId="77777777" w:rsidR="005666DC" w:rsidRPr="00E57C84" w:rsidRDefault="005666DC" w:rsidP="008818B1">
            <w:pPr>
              <w:rPr>
                <w:rFonts w:cstheme="minorHAnsi"/>
                <w:sz w:val="24"/>
                <w:szCs w:val="24"/>
                <w:lang w:val="en-ZA"/>
              </w:rPr>
            </w:pPr>
          </w:p>
          <w:p w14:paraId="70153DB4" w14:textId="26750A9C" w:rsidR="00545AF1" w:rsidRDefault="005666DC" w:rsidP="008818B1">
            <w:pPr>
              <w:rPr>
                <w:rFonts w:cstheme="minorHAnsi"/>
                <w:sz w:val="24"/>
                <w:szCs w:val="24"/>
              </w:rPr>
            </w:pPr>
            <w:r w:rsidRPr="00336885">
              <w:rPr>
                <w:rFonts w:cstheme="minorHAnsi"/>
                <w:sz w:val="24"/>
                <w:szCs w:val="24"/>
                <w:lang w:val="en-ZA"/>
              </w:rPr>
              <w:t xml:space="preserve">Caledonia’s strategic focus </w:t>
            </w:r>
            <w:r w:rsidR="00E02BE9">
              <w:rPr>
                <w:rFonts w:cstheme="minorHAnsi"/>
                <w:sz w:val="24"/>
                <w:szCs w:val="24"/>
                <w:lang w:val="en-ZA"/>
              </w:rPr>
              <w:t>since 201</w:t>
            </w:r>
            <w:r w:rsidR="000B073D">
              <w:rPr>
                <w:rFonts w:cstheme="minorHAnsi"/>
                <w:sz w:val="24"/>
                <w:szCs w:val="24"/>
                <w:lang w:val="en-ZA"/>
              </w:rPr>
              <w:t>5</w:t>
            </w:r>
            <w:r w:rsidR="00E02BE9">
              <w:rPr>
                <w:rFonts w:cstheme="minorHAnsi"/>
                <w:sz w:val="24"/>
                <w:szCs w:val="24"/>
                <w:lang w:val="en-ZA"/>
              </w:rPr>
              <w:t xml:space="preserve"> had</w:t>
            </w:r>
            <w:r w:rsidR="000B0326" w:rsidRPr="00336885">
              <w:rPr>
                <w:rFonts w:cstheme="minorHAnsi"/>
                <w:sz w:val="24"/>
                <w:szCs w:val="24"/>
                <w:lang w:val="en-ZA"/>
              </w:rPr>
              <w:t xml:space="preserve"> been </w:t>
            </w:r>
            <w:r w:rsidRPr="00336885">
              <w:rPr>
                <w:rFonts w:cstheme="minorHAnsi"/>
                <w:sz w:val="24"/>
                <w:szCs w:val="24"/>
                <w:lang w:val="en-ZA"/>
              </w:rPr>
              <w:t xml:space="preserve">to implement </w:t>
            </w:r>
            <w:r w:rsidR="00E02BE9">
              <w:rPr>
                <w:rFonts w:cstheme="minorHAnsi"/>
                <w:sz w:val="24"/>
                <w:szCs w:val="24"/>
                <w:lang w:val="en-ZA"/>
              </w:rPr>
              <w:t>an</w:t>
            </w:r>
            <w:r w:rsidR="00E02BE9" w:rsidRPr="00336885">
              <w:rPr>
                <w:rFonts w:cstheme="minorHAnsi"/>
                <w:sz w:val="24"/>
                <w:szCs w:val="24"/>
                <w:lang w:val="en-ZA"/>
              </w:rPr>
              <w:t xml:space="preserve"> </w:t>
            </w:r>
            <w:r w:rsidRPr="00336885">
              <w:rPr>
                <w:rFonts w:cstheme="minorHAnsi"/>
                <w:sz w:val="24"/>
                <w:szCs w:val="24"/>
                <w:lang w:val="en-ZA"/>
              </w:rPr>
              <w:t>investment programme at Blanket,</w:t>
            </w:r>
            <w:r w:rsidRPr="00336885">
              <w:rPr>
                <w:rFonts w:cstheme="minorHAnsi"/>
                <w:sz w:val="24"/>
                <w:szCs w:val="24"/>
              </w:rPr>
              <w:t xml:space="preserve"> the main component of which </w:t>
            </w:r>
            <w:r w:rsidR="00E02BE9">
              <w:rPr>
                <w:rFonts w:cstheme="minorHAnsi"/>
                <w:sz w:val="24"/>
                <w:szCs w:val="24"/>
              </w:rPr>
              <w:t>was</w:t>
            </w:r>
            <w:r w:rsidR="00E02BE9" w:rsidRPr="00336885">
              <w:rPr>
                <w:rFonts w:cstheme="minorHAnsi"/>
                <w:sz w:val="24"/>
                <w:szCs w:val="24"/>
              </w:rPr>
              <w:t xml:space="preserve"> </w:t>
            </w:r>
            <w:r w:rsidRPr="00336885">
              <w:rPr>
                <w:rFonts w:cstheme="minorHAnsi"/>
                <w:sz w:val="24"/>
                <w:szCs w:val="24"/>
              </w:rPr>
              <w:t>the Central Shaft project</w:t>
            </w:r>
            <w:r w:rsidR="00545AF1">
              <w:rPr>
                <w:rFonts w:cstheme="minorHAnsi"/>
                <w:sz w:val="24"/>
                <w:szCs w:val="24"/>
              </w:rPr>
              <w:t xml:space="preserve"> which involved sinking </w:t>
            </w:r>
            <w:r w:rsidR="006F4708">
              <w:rPr>
                <w:rFonts w:cstheme="minorHAnsi"/>
                <w:sz w:val="24"/>
                <w:szCs w:val="24"/>
              </w:rPr>
              <w:t xml:space="preserve">a new mine shaft to a depth of approximately 1,200 metres </w:t>
            </w:r>
            <w:r w:rsidR="00545AF1">
              <w:rPr>
                <w:rFonts w:cstheme="minorHAnsi"/>
                <w:sz w:val="24"/>
                <w:szCs w:val="24"/>
              </w:rPr>
              <w:t xml:space="preserve">in order to access ore </w:t>
            </w:r>
            <w:r w:rsidR="00C71996">
              <w:rPr>
                <w:rFonts w:cstheme="minorHAnsi"/>
                <w:sz w:val="24"/>
                <w:szCs w:val="24"/>
              </w:rPr>
              <w:t>below 750 metres</w:t>
            </w:r>
            <w:r w:rsidR="00745733">
              <w:rPr>
                <w:rFonts w:cstheme="minorHAnsi"/>
                <w:sz w:val="24"/>
                <w:szCs w:val="24"/>
              </w:rPr>
              <w:t>,</w:t>
            </w:r>
            <w:r w:rsidR="00C71996">
              <w:rPr>
                <w:rFonts w:cstheme="minorHAnsi"/>
                <w:sz w:val="24"/>
                <w:szCs w:val="24"/>
              </w:rPr>
              <w:t xml:space="preserve"> extend the life of mine</w:t>
            </w:r>
            <w:r w:rsidR="00745733">
              <w:rPr>
                <w:rFonts w:cstheme="minorHAnsi"/>
                <w:sz w:val="24"/>
                <w:szCs w:val="24"/>
              </w:rPr>
              <w:t xml:space="preserve"> and </w:t>
            </w:r>
            <w:r w:rsidR="0029527B" w:rsidRPr="008F7998">
              <w:rPr>
                <w:rFonts w:cstheme="minorHAnsi"/>
                <w:sz w:val="24"/>
                <w:szCs w:val="24"/>
                <w:lang w:val="en-ZA"/>
              </w:rPr>
              <w:t>increase</w:t>
            </w:r>
            <w:r w:rsidR="00745733" w:rsidRPr="008F7998">
              <w:rPr>
                <w:rFonts w:cstheme="minorHAnsi"/>
                <w:sz w:val="24"/>
                <w:szCs w:val="24"/>
                <w:lang w:val="en-ZA"/>
              </w:rPr>
              <w:t xml:space="preserve"> flexibility to undertake further exploration and development, thereby safeguarding and enhancing Blanket’s long-ter</w:t>
            </w:r>
            <w:r w:rsidR="00745733" w:rsidRPr="00926EC2">
              <w:rPr>
                <w:rFonts w:cstheme="minorHAnsi"/>
                <w:sz w:val="24"/>
                <w:szCs w:val="24"/>
                <w:lang w:val="en-ZA"/>
              </w:rPr>
              <w:t>m future</w:t>
            </w:r>
            <w:r w:rsidR="00745733">
              <w:rPr>
                <w:rFonts w:cstheme="minorHAnsi"/>
                <w:sz w:val="24"/>
                <w:szCs w:val="24"/>
              </w:rPr>
              <w:t>.</w:t>
            </w:r>
            <w:r w:rsidR="0062476B">
              <w:rPr>
                <w:rFonts w:cstheme="minorHAnsi"/>
                <w:sz w:val="24"/>
                <w:szCs w:val="24"/>
              </w:rPr>
              <w:t xml:space="preserve">  </w:t>
            </w:r>
          </w:p>
          <w:p w14:paraId="2EBE25D5" w14:textId="77777777" w:rsidR="00545AF1" w:rsidRDefault="00545AF1" w:rsidP="008818B1">
            <w:pPr>
              <w:rPr>
                <w:rFonts w:cstheme="minorHAnsi"/>
                <w:sz w:val="24"/>
                <w:szCs w:val="24"/>
              </w:rPr>
            </w:pPr>
          </w:p>
          <w:p w14:paraId="0346BBB7" w14:textId="3C2BC8C7" w:rsidR="005666DC" w:rsidRPr="00E0020D" w:rsidRDefault="000C56F5" w:rsidP="008818B1">
            <w:pPr>
              <w:rPr>
                <w:rFonts w:cstheme="minorHAnsi"/>
                <w:sz w:val="24"/>
                <w:szCs w:val="24"/>
                <w:lang w:val="en-ZA"/>
              </w:rPr>
            </w:pPr>
            <w:r w:rsidRPr="00336885">
              <w:rPr>
                <w:rFonts w:cstheme="minorHAnsi"/>
                <w:sz w:val="24"/>
                <w:szCs w:val="24"/>
                <w:lang w:val="en-ZA"/>
              </w:rPr>
              <w:t xml:space="preserve">Following the commissioning of </w:t>
            </w:r>
            <w:r w:rsidRPr="00336885">
              <w:rPr>
                <w:rFonts w:cstheme="minorHAnsi"/>
                <w:sz w:val="24"/>
                <w:szCs w:val="24"/>
              </w:rPr>
              <w:t xml:space="preserve">the Central Shaft in 2021, </w:t>
            </w:r>
            <w:r w:rsidR="005666DC" w:rsidRPr="00336885">
              <w:rPr>
                <w:rFonts w:cstheme="minorHAnsi"/>
                <w:sz w:val="24"/>
                <w:szCs w:val="24"/>
              </w:rPr>
              <w:t>Caledonia</w:t>
            </w:r>
            <w:r w:rsidR="00CC3598" w:rsidRPr="00336885">
              <w:rPr>
                <w:rFonts w:cstheme="minorHAnsi"/>
                <w:sz w:val="24"/>
                <w:szCs w:val="24"/>
              </w:rPr>
              <w:t>’s</w:t>
            </w:r>
            <w:r w:rsidR="005666DC" w:rsidRPr="00336885">
              <w:rPr>
                <w:rFonts w:cstheme="minorHAnsi"/>
                <w:sz w:val="24"/>
                <w:szCs w:val="24"/>
              </w:rPr>
              <w:t xml:space="preserve"> </w:t>
            </w:r>
            <w:r w:rsidR="00CC3598" w:rsidRPr="00336885">
              <w:rPr>
                <w:rFonts w:cstheme="minorHAnsi"/>
                <w:sz w:val="24"/>
                <w:szCs w:val="24"/>
                <w:lang w:val="en-ZA"/>
              </w:rPr>
              <w:t xml:space="preserve">immediate strategic focus </w:t>
            </w:r>
            <w:r w:rsidR="00966397">
              <w:rPr>
                <w:rFonts w:cstheme="minorHAnsi"/>
                <w:sz w:val="24"/>
                <w:szCs w:val="24"/>
                <w:lang w:val="en-ZA"/>
              </w:rPr>
              <w:t>then became to</w:t>
            </w:r>
            <w:r w:rsidR="008F7998">
              <w:rPr>
                <w:rFonts w:cstheme="minorHAnsi"/>
                <w:sz w:val="24"/>
                <w:szCs w:val="24"/>
                <w:lang w:val="en-ZA"/>
              </w:rPr>
              <w:t xml:space="preserve"> translate the benefits of Central Shaft into </w:t>
            </w:r>
            <w:r w:rsidR="005666DC" w:rsidRPr="008F7998">
              <w:rPr>
                <w:rFonts w:cstheme="minorHAnsi"/>
                <w:sz w:val="24"/>
                <w:szCs w:val="24"/>
                <w:lang w:val="en-ZA"/>
              </w:rPr>
              <w:t>increased production</w:t>
            </w:r>
            <w:r w:rsidR="00745733">
              <w:rPr>
                <w:rFonts w:cstheme="minorHAnsi"/>
                <w:sz w:val="24"/>
                <w:szCs w:val="24"/>
                <w:lang w:val="en-ZA"/>
              </w:rPr>
              <w:t xml:space="preserve"> and</w:t>
            </w:r>
            <w:r w:rsidR="005666DC" w:rsidRPr="008F7998">
              <w:rPr>
                <w:rFonts w:cstheme="minorHAnsi"/>
                <w:sz w:val="24"/>
                <w:szCs w:val="24"/>
                <w:lang w:val="en-ZA"/>
              </w:rPr>
              <w:t xml:space="preserve"> reduced operating costs</w:t>
            </w:r>
            <w:r w:rsidR="005666DC" w:rsidRPr="00926EC2">
              <w:rPr>
                <w:rFonts w:cstheme="minorHAnsi"/>
                <w:sz w:val="24"/>
                <w:szCs w:val="24"/>
                <w:lang w:val="en-ZA"/>
              </w:rPr>
              <w:t xml:space="preserve">.  </w:t>
            </w:r>
          </w:p>
          <w:p w14:paraId="3BF3EA51" w14:textId="77777777" w:rsidR="005666DC" w:rsidRPr="00E57C84" w:rsidRDefault="005666DC" w:rsidP="008818B1">
            <w:pPr>
              <w:rPr>
                <w:rFonts w:cstheme="minorHAnsi"/>
                <w:sz w:val="24"/>
                <w:szCs w:val="24"/>
                <w:lang w:val="en-ZA"/>
              </w:rPr>
            </w:pPr>
          </w:p>
          <w:p w14:paraId="29478724" w14:textId="36C0B581" w:rsidR="00E36026" w:rsidRDefault="00DE1DC0" w:rsidP="008818B1">
            <w:pPr>
              <w:rPr>
                <w:rFonts w:cstheme="minorHAnsi"/>
                <w:sz w:val="24"/>
                <w:szCs w:val="24"/>
                <w:lang w:val="en-ZA"/>
              </w:rPr>
            </w:pPr>
            <w:r>
              <w:rPr>
                <w:rFonts w:cstheme="minorHAnsi"/>
                <w:sz w:val="24"/>
                <w:szCs w:val="24"/>
                <w:lang w:val="en-ZA"/>
              </w:rPr>
              <w:t>Blanket</w:t>
            </w:r>
            <w:r w:rsidR="00013D55">
              <w:rPr>
                <w:rFonts w:cstheme="minorHAnsi"/>
                <w:sz w:val="24"/>
                <w:szCs w:val="24"/>
                <w:lang w:val="en-ZA"/>
              </w:rPr>
              <w:t>, with the benefit of Central Shaft,</w:t>
            </w:r>
            <w:r>
              <w:rPr>
                <w:rFonts w:cstheme="minorHAnsi"/>
                <w:sz w:val="24"/>
                <w:szCs w:val="24"/>
                <w:lang w:val="en-ZA"/>
              </w:rPr>
              <w:t xml:space="preserve"> </w:t>
            </w:r>
            <w:r w:rsidR="00EE5FB8">
              <w:rPr>
                <w:rFonts w:cstheme="minorHAnsi"/>
                <w:sz w:val="24"/>
                <w:szCs w:val="24"/>
                <w:lang w:val="en-ZA"/>
              </w:rPr>
              <w:t xml:space="preserve">slightly exceeded </w:t>
            </w:r>
            <w:r w:rsidR="00FB1AFB">
              <w:rPr>
                <w:rFonts w:cstheme="minorHAnsi"/>
                <w:sz w:val="24"/>
                <w:szCs w:val="24"/>
                <w:lang w:val="en-ZA"/>
              </w:rPr>
              <w:t>its production</w:t>
            </w:r>
            <w:r w:rsidR="0048121A">
              <w:rPr>
                <w:rFonts w:cstheme="minorHAnsi"/>
                <w:sz w:val="24"/>
                <w:szCs w:val="24"/>
                <w:lang w:val="en-ZA"/>
              </w:rPr>
              <w:t xml:space="preserve"> </w:t>
            </w:r>
            <w:r w:rsidR="00EE5FB8">
              <w:rPr>
                <w:rFonts w:cstheme="minorHAnsi"/>
                <w:sz w:val="24"/>
                <w:szCs w:val="24"/>
                <w:lang w:val="en-ZA"/>
              </w:rPr>
              <w:t xml:space="preserve">target </w:t>
            </w:r>
            <w:r w:rsidR="00FB1AFB">
              <w:rPr>
                <w:rFonts w:cstheme="minorHAnsi"/>
                <w:sz w:val="24"/>
                <w:szCs w:val="24"/>
                <w:lang w:val="en-ZA"/>
              </w:rPr>
              <w:t xml:space="preserve">of 80,000 ounces </w:t>
            </w:r>
            <w:r w:rsidR="008A5307">
              <w:rPr>
                <w:rFonts w:cstheme="minorHAnsi"/>
                <w:sz w:val="24"/>
                <w:szCs w:val="24"/>
                <w:lang w:val="en-ZA"/>
              </w:rPr>
              <w:t xml:space="preserve">(“oz”) </w:t>
            </w:r>
            <w:r w:rsidR="00FB1AFB">
              <w:rPr>
                <w:rFonts w:cstheme="minorHAnsi"/>
                <w:sz w:val="24"/>
                <w:szCs w:val="24"/>
                <w:lang w:val="en-ZA"/>
              </w:rPr>
              <w:t xml:space="preserve">of gold </w:t>
            </w:r>
            <w:r w:rsidR="00EE5FB8">
              <w:rPr>
                <w:rFonts w:cstheme="minorHAnsi"/>
                <w:sz w:val="24"/>
                <w:szCs w:val="24"/>
                <w:lang w:val="en-ZA"/>
              </w:rPr>
              <w:t>in 2022</w:t>
            </w:r>
            <w:r w:rsidR="00E36026">
              <w:rPr>
                <w:rFonts w:cstheme="minorHAnsi"/>
                <w:sz w:val="24"/>
                <w:szCs w:val="24"/>
                <w:lang w:val="en-ZA"/>
              </w:rPr>
              <w:t xml:space="preserve"> and </w:t>
            </w:r>
            <w:r w:rsidR="002568E9">
              <w:rPr>
                <w:rFonts w:cstheme="minorHAnsi"/>
                <w:sz w:val="24"/>
                <w:szCs w:val="24"/>
                <w:lang w:val="en-ZA"/>
              </w:rPr>
              <w:t xml:space="preserve">produced over 75,000 </w:t>
            </w:r>
            <w:r w:rsidR="008A5307">
              <w:rPr>
                <w:rFonts w:cstheme="minorHAnsi"/>
                <w:sz w:val="24"/>
                <w:szCs w:val="24"/>
                <w:lang w:val="en-ZA"/>
              </w:rPr>
              <w:t xml:space="preserve">oz </w:t>
            </w:r>
            <w:r w:rsidR="002568E9">
              <w:rPr>
                <w:rFonts w:cstheme="minorHAnsi"/>
                <w:sz w:val="24"/>
                <w:szCs w:val="24"/>
                <w:lang w:val="en-ZA"/>
              </w:rPr>
              <w:t>in 2023</w:t>
            </w:r>
            <w:r w:rsidR="004D7457">
              <w:rPr>
                <w:rFonts w:cstheme="minorHAnsi"/>
                <w:sz w:val="24"/>
                <w:szCs w:val="24"/>
                <w:lang w:val="en-ZA"/>
              </w:rPr>
              <w:t xml:space="preserve"> and </w:t>
            </w:r>
            <w:r w:rsidR="00DA1FC5">
              <w:rPr>
                <w:rFonts w:cstheme="minorHAnsi"/>
                <w:sz w:val="24"/>
                <w:szCs w:val="24"/>
                <w:lang w:val="en-ZA"/>
              </w:rPr>
              <w:t xml:space="preserve">over 76,000 </w:t>
            </w:r>
            <w:r w:rsidR="008A5307">
              <w:rPr>
                <w:rFonts w:cstheme="minorHAnsi"/>
                <w:sz w:val="24"/>
                <w:szCs w:val="24"/>
                <w:lang w:val="en-ZA"/>
              </w:rPr>
              <w:t xml:space="preserve">oz </w:t>
            </w:r>
            <w:r w:rsidR="00DA1FC5">
              <w:rPr>
                <w:rFonts w:cstheme="minorHAnsi"/>
                <w:sz w:val="24"/>
                <w:szCs w:val="24"/>
                <w:lang w:val="en-ZA"/>
              </w:rPr>
              <w:t xml:space="preserve">in </w:t>
            </w:r>
            <w:r w:rsidR="00200B6F">
              <w:rPr>
                <w:rFonts w:cstheme="minorHAnsi"/>
                <w:sz w:val="24"/>
                <w:szCs w:val="24"/>
                <w:lang w:val="en-ZA"/>
              </w:rPr>
              <w:t>2024</w:t>
            </w:r>
            <w:r w:rsidR="00325100">
              <w:rPr>
                <w:rFonts w:cstheme="minorHAnsi"/>
                <w:sz w:val="24"/>
                <w:szCs w:val="24"/>
                <w:lang w:val="en-ZA"/>
              </w:rPr>
              <w:t xml:space="preserve"> and 2025</w:t>
            </w:r>
            <w:r w:rsidR="002568E9">
              <w:rPr>
                <w:rFonts w:cstheme="minorHAnsi"/>
                <w:sz w:val="24"/>
                <w:szCs w:val="24"/>
                <w:lang w:val="en-ZA"/>
              </w:rPr>
              <w:t xml:space="preserve">.  It </w:t>
            </w:r>
            <w:r w:rsidR="00E36026">
              <w:rPr>
                <w:rFonts w:cstheme="minorHAnsi"/>
                <w:sz w:val="24"/>
                <w:szCs w:val="24"/>
                <w:lang w:val="en-ZA"/>
              </w:rPr>
              <w:t xml:space="preserve">currently expects to produce </w:t>
            </w:r>
            <w:r w:rsidR="00325100">
              <w:rPr>
                <w:rFonts w:cstheme="minorHAnsi"/>
                <w:sz w:val="24"/>
                <w:szCs w:val="24"/>
                <w:lang w:val="en-ZA"/>
              </w:rPr>
              <w:t>72,000 to 7</w:t>
            </w:r>
            <w:r w:rsidR="007F7B2F">
              <w:rPr>
                <w:rFonts w:cstheme="minorHAnsi"/>
                <w:sz w:val="24"/>
                <w:szCs w:val="24"/>
                <w:lang w:val="en-ZA"/>
              </w:rPr>
              <w:t>6,500</w:t>
            </w:r>
            <w:r w:rsidR="00200B6F">
              <w:rPr>
                <w:rFonts w:cstheme="minorHAnsi"/>
                <w:sz w:val="24"/>
                <w:szCs w:val="24"/>
                <w:lang w:val="en-ZA"/>
              </w:rPr>
              <w:t xml:space="preserve"> </w:t>
            </w:r>
            <w:r w:rsidR="008A5307">
              <w:rPr>
                <w:rFonts w:cstheme="minorHAnsi"/>
                <w:sz w:val="24"/>
                <w:szCs w:val="24"/>
                <w:lang w:val="en-ZA"/>
              </w:rPr>
              <w:t xml:space="preserve">oz </w:t>
            </w:r>
            <w:r w:rsidR="00E36026">
              <w:rPr>
                <w:rFonts w:cstheme="minorHAnsi"/>
                <w:sz w:val="24"/>
                <w:szCs w:val="24"/>
                <w:lang w:val="en-ZA"/>
              </w:rPr>
              <w:t xml:space="preserve">of gold in </w:t>
            </w:r>
            <w:r w:rsidR="00325100">
              <w:rPr>
                <w:rFonts w:cstheme="minorHAnsi"/>
                <w:sz w:val="24"/>
                <w:szCs w:val="24"/>
                <w:lang w:val="en-ZA"/>
              </w:rPr>
              <w:t>2026</w:t>
            </w:r>
            <w:r w:rsidR="00E36026">
              <w:rPr>
                <w:rFonts w:cstheme="minorHAnsi"/>
                <w:sz w:val="24"/>
                <w:szCs w:val="24"/>
                <w:lang w:val="en-ZA"/>
              </w:rPr>
              <w:t>.</w:t>
            </w:r>
          </w:p>
          <w:p w14:paraId="42592E11" w14:textId="77777777" w:rsidR="00FE2A84" w:rsidRDefault="00FE2A84" w:rsidP="008818B1">
            <w:pPr>
              <w:rPr>
                <w:rFonts w:cstheme="minorHAnsi"/>
                <w:sz w:val="24"/>
                <w:szCs w:val="24"/>
                <w:lang w:val="en-ZA"/>
              </w:rPr>
            </w:pPr>
          </w:p>
          <w:p w14:paraId="29D14933" w14:textId="461ABE04" w:rsidR="00E36026" w:rsidRDefault="00920D2C" w:rsidP="008818B1">
            <w:pPr>
              <w:rPr>
                <w:rFonts w:cstheme="minorHAnsi"/>
                <w:sz w:val="24"/>
                <w:szCs w:val="24"/>
              </w:rPr>
            </w:pPr>
            <w:r>
              <w:rPr>
                <w:rFonts w:cstheme="minorHAnsi"/>
                <w:sz w:val="24"/>
                <w:szCs w:val="24"/>
              </w:rPr>
              <w:t xml:space="preserve">A resource expansion drilling programme is currently underway and has </w:t>
            </w:r>
            <w:r w:rsidR="00E723C5">
              <w:rPr>
                <w:rFonts w:cstheme="minorHAnsi"/>
                <w:sz w:val="24"/>
                <w:szCs w:val="24"/>
              </w:rPr>
              <w:t>yielded better than expected grades and widths</w:t>
            </w:r>
            <w:r w:rsidR="00616AE7">
              <w:rPr>
                <w:rFonts w:cstheme="minorHAnsi"/>
                <w:sz w:val="24"/>
                <w:szCs w:val="24"/>
              </w:rPr>
              <w:t xml:space="preserve">.  The objectives of the programme are to increase the confidence levels of the existing mineral resource and grow the </w:t>
            </w:r>
            <w:r w:rsidR="00A9620A">
              <w:rPr>
                <w:rFonts w:cstheme="minorHAnsi"/>
                <w:sz w:val="24"/>
                <w:szCs w:val="24"/>
              </w:rPr>
              <w:t xml:space="preserve">mineral resource estimate at </w:t>
            </w:r>
            <w:r w:rsidR="00F4762F">
              <w:rPr>
                <w:rFonts w:cstheme="minorHAnsi"/>
                <w:sz w:val="24"/>
                <w:szCs w:val="24"/>
              </w:rPr>
              <w:t>a deep level</w:t>
            </w:r>
            <w:r w:rsidR="00C36ADF">
              <w:rPr>
                <w:rFonts w:cstheme="minorHAnsi"/>
                <w:sz w:val="24"/>
                <w:szCs w:val="24"/>
              </w:rPr>
              <w:t xml:space="preserve">, thereby </w:t>
            </w:r>
            <w:r w:rsidR="003737A1">
              <w:rPr>
                <w:rFonts w:cstheme="minorHAnsi"/>
                <w:sz w:val="24"/>
                <w:szCs w:val="24"/>
              </w:rPr>
              <w:t xml:space="preserve">further </w:t>
            </w:r>
            <w:r w:rsidR="00C36ADF">
              <w:rPr>
                <w:rFonts w:cstheme="minorHAnsi"/>
                <w:sz w:val="24"/>
                <w:szCs w:val="24"/>
              </w:rPr>
              <w:t>extending the life of mine</w:t>
            </w:r>
            <w:r w:rsidR="00A9620A">
              <w:rPr>
                <w:rFonts w:cstheme="minorHAnsi"/>
                <w:sz w:val="24"/>
                <w:szCs w:val="24"/>
              </w:rPr>
              <w:t>.</w:t>
            </w:r>
          </w:p>
          <w:p w14:paraId="02F87EF3" w14:textId="77777777" w:rsidR="0093224E" w:rsidRDefault="0093224E" w:rsidP="008818B1">
            <w:pPr>
              <w:rPr>
                <w:rFonts w:cstheme="minorHAnsi"/>
                <w:sz w:val="24"/>
                <w:szCs w:val="24"/>
                <w:lang w:val="en-ZA"/>
              </w:rPr>
            </w:pPr>
          </w:p>
          <w:p w14:paraId="458B1444" w14:textId="319C93CE" w:rsidR="00BE0332" w:rsidRDefault="003E7293" w:rsidP="008818B1">
            <w:pPr>
              <w:rPr>
                <w:rFonts w:cstheme="minorHAnsi"/>
                <w:sz w:val="24"/>
                <w:szCs w:val="24"/>
                <w:lang w:val="en-ZA"/>
              </w:rPr>
            </w:pPr>
            <w:r>
              <w:rPr>
                <w:rFonts w:cstheme="minorHAnsi"/>
                <w:sz w:val="24"/>
                <w:szCs w:val="24"/>
                <w:lang w:val="en-ZA"/>
              </w:rPr>
              <w:lastRenderedPageBreak/>
              <w:t xml:space="preserve">With the completion of the Central Shaft, </w:t>
            </w:r>
            <w:r w:rsidR="005666DC" w:rsidRPr="00E57C84">
              <w:rPr>
                <w:rFonts w:cstheme="minorHAnsi"/>
                <w:sz w:val="24"/>
                <w:szCs w:val="24"/>
                <w:lang w:val="en-ZA"/>
              </w:rPr>
              <w:t>Caledonia</w:t>
            </w:r>
            <w:r w:rsidR="00DE1DC0">
              <w:rPr>
                <w:rFonts w:cstheme="minorHAnsi"/>
                <w:sz w:val="24"/>
                <w:szCs w:val="24"/>
                <w:lang w:val="en-ZA"/>
              </w:rPr>
              <w:t xml:space="preserve">’s strategy is now to </w:t>
            </w:r>
            <w:r w:rsidR="00013D55">
              <w:rPr>
                <w:rFonts w:cstheme="minorHAnsi"/>
                <w:sz w:val="24"/>
                <w:szCs w:val="24"/>
                <w:lang w:val="en-ZA"/>
              </w:rPr>
              <w:t xml:space="preserve">become a </w:t>
            </w:r>
            <w:r w:rsidR="00E24D24">
              <w:rPr>
                <w:rFonts w:cstheme="minorHAnsi"/>
                <w:sz w:val="24"/>
                <w:szCs w:val="24"/>
                <w:lang w:val="en-ZA"/>
              </w:rPr>
              <w:t>mid-tier</w:t>
            </w:r>
            <w:r w:rsidR="00013D55">
              <w:rPr>
                <w:rFonts w:cstheme="minorHAnsi"/>
                <w:sz w:val="24"/>
                <w:szCs w:val="24"/>
                <w:lang w:val="en-ZA"/>
              </w:rPr>
              <w:t>, multi asset gold producer focussed on Zimbabwe</w:t>
            </w:r>
            <w:r w:rsidR="00CB0BA8">
              <w:rPr>
                <w:rFonts w:cstheme="minorHAnsi"/>
                <w:sz w:val="24"/>
                <w:szCs w:val="24"/>
                <w:lang w:val="en-ZA"/>
              </w:rPr>
              <w:t xml:space="preserve">.  </w:t>
            </w:r>
            <w:r w:rsidR="003E057B">
              <w:rPr>
                <w:rFonts w:cstheme="minorHAnsi"/>
                <w:sz w:val="24"/>
                <w:szCs w:val="24"/>
                <w:lang w:val="en-ZA"/>
              </w:rPr>
              <w:t xml:space="preserve">In the last </w:t>
            </w:r>
            <w:r w:rsidR="001C411A">
              <w:rPr>
                <w:rFonts w:cstheme="minorHAnsi"/>
                <w:sz w:val="24"/>
                <w:szCs w:val="24"/>
                <w:lang w:val="en-ZA"/>
              </w:rPr>
              <w:t xml:space="preserve">few </w:t>
            </w:r>
            <w:r w:rsidR="00656A7B">
              <w:rPr>
                <w:rFonts w:cstheme="minorHAnsi"/>
                <w:sz w:val="24"/>
                <w:szCs w:val="24"/>
                <w:lang w:val="en-ZA"/>
              </w:rPr>
              <w:t>years,</w:t>
            </w:r>
            <w:r w:rsidR="003E057B">
              <w:rPr>
                <w:rFonts w:cstheme="minorHAnsi"/>
                <w:sz w:val="24"/>
                <w:szCs w:val="24"/>
                <w:lang w:val="en-ZA"/>
              </w:rPr>
              <w:t xml:space="preserve"> it has made significant advances in achieving this </w:t>
            </w:r>
            <w:r w:rsidR="00674103">
              <w:rPr>
                <w:rFonts w:cstheme="minorHAnsi"/>
                <w:sz w:val="24"/>
                <w:szCs w:val="24"/>
                <w:lang w:val="en-ZA"/>
              </w:rPr>
              <w:t>vision</w:t>
            </w:r>
            <w:r w:rsidR="003E057B">
              <w:rPr>
                <w:rFonts w:cstheme="minorHAnsi"/>
                <w:sz w:val="24"/>
                <w:szCs w:val="24"/>
                <w:lang w:val="en-ZA"/>
              </w:rPr>
              <w:t xml:space="preserve"> b</w:t>
            </w:r>
            <w:r w:rsidR="00454B0E">
              <w:rPr>
                <w:rFonts w:cstheme="minorHAnsi"/>
                <w:sz w:val="24"/>
                <w:szCs w:val="24"/>
                <w:lang w:val="en-ZA"/>
              </w:rPr>
              <w:t>y</w:t>
            </w:r>
            <w:r w:rsidR="00745733">
              <w:rPr>
                <w:rFonts w:cstheme="minorHAnsi"/>
                <w:sz w:val="24"/>
                <w:szCs w:val="24"/>
                <w:lang w:val="en-ZA"/>
              </w:rPr>
              <w:t xml:space="preserve"> acquiring</w:t>
            </w:r>
            <w:r w:rsidR="00454B0E">
              <w:rPr>
                <w:rFonts w:cstheme="minorHAnsi"/>
                <w:sz w:val="24"/>
                <w:szCs w:val="24"/>
                <w:lang w:val="en-ZA"/>
              </w:rPr>
              <w:t xml:space="preserve"> the following projects</w:t>
            </w:r>
            <w:r w:rsidR="003E057B">
              <w:rPr>
                <w:rFonts w:cstheme="minorHAnsi"/>
                <w:sz w:val="24"/>
                <w:szCs w:val="24"/>
                <w:lang w:val="en-ZA"/>
              </w:rPr>
              <w:t>:</w:t>
            </w:r>
          </w:p>
          <w:p w14:paraId="7936449A" w14:textId="77777777" w:rsidR="00BE0332" w:rsidRDefault="00BE0332" w:rsidP="008818B1">
            <w:pPr>
              <w:rPr>
                <w:rFonts w:cstheme="minorHAnsi"/>
                <w:sz w:val="24"/>
                <w:szCs w:val="24"/>
                <w:lang w:val="en-ZA"/>
              </w:rPr>
            </w:pPr>
          </w:p>
          <w:p w14:paraId="02B35D65" w14:textId="484832AD" w:rsidR="003737A1" w:rsidRDefault="003737A1" w:rsidP="003737A1">
            <w:pPr>
              <w:pStyle w:val="ListParagraph"/>
              <w:numPr>
                <w:ilvl w:val="0"/>
                <w:numId w:val="3"/>
              </w:numPr>
              <w:ind w:left="325"/>
              <w:rPr>
                <w:rFonts w:cstheme="minorHAnsi"/>
                <w:sz w:val="24"/>
                <w:szCs w:val="24"/>
                <w:lang w:val="en-ZA"/>
              </w:rPr>
            </w:pPr>
            <w:r w:rsidRPr="00821F69">
              <w:rPr>
                <w:rFonts w:cstheme="minorHAnsi"/>
                <w:sz w:val="24"/>
                <w:szCs w:val="24"/>
                <w:lang w:val="en-ZA"/>
              </w:rPr>
              <w:t xml:space="preserve">In September 2021, Caledonia announced that it had entered into an agreement to purchase the claims </w:t>
            </w:r>
            <w:r>
              <w:rPr>
                <w:rFonts w:cstheme="minorHAnsi"/>
                <w:sz w:val="24"/>
                <w:szCs w:val="24"/>
                <w:lang w:val="en-ZA"/>
              </w:rPr>
              <w:t xml:space="preserve">(which have now been converted into a mining lease) </w:t>
            </w:r>
            <w:r w:rsidRPr="00821F69">
              <w:rPr>
                <w:rFonts w:cstheme="minorHAnsi"/>
                <w:sz w:val="24"/>
                <w:szCs w:val="24"/>
                <w:lang w:val="en-ZA"/>
              </w:rPr>
              <w:t xml:space="preserve">over an area known as </w:t>
            </w:r>
            <w:proofErr w:type="spellStart"/>
            <w:r w:rsidRPr="00821F69">
              <w:rPr>
                <w:rFonts w:cstheme="minorHAnsi"/>
                <w:sz w:val="24"/>
                <w:szCs w:val="24"/>
                <w:lang w:val="en-ZA"/>
              </w:rPr>
              <w:t>Maligreen</w:t>
            </w:r>
            <w:proofErr w:type="spellEnd"/>
            <w:r w:rsidRPr="00821F69">
              <w:rPr>
                <w:rFonts w:cstheme="minorHAnsi"/>
                <w:sz w:val="24"/>
                <w:szCs w:val="24"/>
                <w:lang w:val="en-ZA"/>
              </w:rPr>
              <w:t xml:space="preserve"> in the Zimbabwe Midlands area in exchange for US$4</w:t>
            </w:r>
            <w:r w:rsidR="00AD42FB">
              <w:rPr>
                <w:rFonts w:cstheme="minorHAnsi"/>
                <w:sz w:val="24"/>
                <w:szCs w:val="24"/>
                <w:lang w:val="en-ZA"/>
              </w:rPr>
              <w:t xml:space="preserve"> </w:t>
            </w:r>
            <w:r w:rsidRPr="00821F69">
              <w:rPr>
                <w:rFonts w:cstheme="minorHAnsi"/>
                <w:sz w:val="24"/>
                <w:szCs w:val="24"/>
                <w:lang w:val="en-ZA"/>
              </w:rPr>
              <w:t>m</w:t>
            </w:r>
            <w:r w:rsidR="00066A4D">
              <w:rPr>
                <w:rFonts w:cstheme="minorHAnsi"/>
                <w:sz w:val="24"/>
                <w:szCs w:val="24"/>
                <w:lang w:val="en-ZA"/>
              </w:rPr>
              <w:t>illion</w:t>
            </w:r>
            <w:r w:rsidRPr="00821F69">
              <w:rPr>
                <w:rFonts w:cstheme="minorHAnsi"/>
                <w:sz w:val="24"/>
                <w:szCs w:val="24"/>
                <w:lang w:val="en-ZA"/>
              </w:rPr>
              <w:t xml:space="preserve">.  </w:t>
            </w:r>
            <w:r>
              <w:rPr>
                <w:rFonts w:cstheme="minorHAnsi"/>
                <w:sz w:val="24"/>
                <w:szCs w:val="24"/>
                <w:lang w:val="en-ZA"/>
              </w:rPr>
              <w:t xml:space="preserve">In June 2024, Caledonia signed an earn-in option agreement for a prospective joint venture partner to conduct further exploration at </w:t>
            </w:r>
            <w:proofErr w:type="spellStart"/>
            <w:r>
              <w:rPr>
                <w:rFonts w:cstheme="minorHAnsi"/>
                <w:sz w:val="24"/>
                <w:szCs w:val="24"/>
                <w:lang w:val="en-ZA"/>
              </w:rPr>
              <w:t>Maligreen</w:t>
            </w:r>
            <w:proofErr w:type="spellEnd"/>
            <w:r>
              <w:rPr>
                <w:rFonts w:cstheme="minorHAnsi"/>
                <w:sz w:val="24"/>
                <w:szCs w:val="24"/>
                <w:lang w:val="en-ZA"/>
              </w:rPr>
              <w:t xml:space="preserve"> with an option to earn into the project in due course.  This was done in order to allow Caledonia to focus its attention on Bilboes and </w:t>
            </w:r>
            <w:proofErr w:type="spellStart"/>
            <w:r>
              <w:rPr>
                <w:rFonts w:cstheme="minorHAnsi"/>
                <w:sz w:val="24"/>
                <w:szCs w:val="24"/>
                <w:lang w:val="en-ZA"/>
              </w:rPr>
              <w:t>Motapa</w:t>
            </w:r>
            <w:proofErr w:type="spellEnd"/>
            <w:r>
              <w:rPr>
                <w:rFonts w:cstheme="minorHAnsi"/>
                <w:sz w:val="24"/>
                <w:szCs w:val="24"/>
                <w:lang w:val="en-ZA"/>
              </w:rPr>
              <w:t>.</w:t>
            </w:r>
          </w:p>
          <w:p w14:paraId="482FFA94" w14:textId="77777777" w:rsidR="003737A1" w:rsidRPr="00821F69" w:rsidRDefault="003737A1" w:rsidP="003737A1">
            <w:pPr>
              <w:pStyle w:val="ListParagraph"/>
              <w:ind w:left="325"/>
              <w:rPr>
                <w:rFonts w:cstheme="minorHAnsi"/>
                <w:sz w:val="24"/>
                <w:szCs w:val="24"/>
                <w:lang w:val="en-ZA"/>
              </w:rPr>
            </w:pPr>
          </w:p>
          <w:p w14:paraId="359AE7B6" w14:textId="7E86A44B" w:rsidR="00CF2AA8" w:rsidRPr="003737A1" w:rsidRDefault="008474E8" w:rsidP="003737A1">
            <w:pPr>
              <w:pStyle w:val="ListParagraph"/>
              <w:numPr>
                <w:ilvl w:val="0"/>
                <w:numId w:val="3"/>
              </w:numPr>
              <w:ind w:left="325" w:hanging="283"/>
              <w:rPr>
                <w:rFonts w:cstheme="minorHAnsi"/>
                <w:sz w:val="24"/>
                <w:szCs w:val="24"/>
                <w:lang w:val="en-ZA"/>
              </w:rPr>
            </w:pPr>
            <w:r w:rsidRPr="00821F69">
              <w:rPr>
                <w:rFonts w:cstheme="minorHAnsi"/>
                <w:sz w:val="24"/>
                <w:szCs w:val="24"/>
                <w:lang w:val="en-ZA"/>
              </w:rPr>
              <w:t xml:space="preserve">In November 2022, Caledonia announced that it had purchased </w:t>
            </w:r>
            <w:proofErr w:type="spellStart"/>
            <w:r w:rsidRPr="00821F69">
              <w:rPr>
                <w:rFonts w:cstheme="minorHAnsi"/>
                <w:sz w:val="24"/>
                <w:szCs w:val="24"/>
                <w:lang w:val="en-ZA"/>
              </w:rPr>
              <w:t>Motapa</w:t>
            </w:r>
            <w:proofErr w:type="spellEnd"/>
            <w:r w:rsidRPr="00821F69">
              <w:rPr>
                <w:rFonts w:cstheme="minorHAnsi"/>
                <w:sz w:val="24"/>
                <w:szCs w:val="24"/>
                <w:lang w:val="en-ZA"/>
              </w:rPr>
              <w:t xml:space="preserve"> Mining Company UK Limited, the parent company of a Zimbabwe subsidiary which holds a registered mining lease over the </w:t>
            </w:r>
            <w:proofErr w:type="spellStart"/>
            <w:r w:rsidRPr="00821F69">
              <w:rPr>
                <w:rFonts w:cstheme="minorHAnsi"/>
                <w:sz w:val="24"/>
                <w:szCs w:val="24"/>
                <w:lang w:val="en-ZA"/>
              </w:rPr>
              <w:t>Motapa</w:t>
            </w:r>
            <w:proofErr w:type="spellEnd"/>
            <w:r w:rsidRPr="00821F69">
              <w:rPr>
                <w:rFonts w:cstheme="minorHAnsi"/>
                <w:sz w:val="24"/>
                <w:szCs w:val="24"/>
                <w:lang w:val="en-ZA"/>
              </w:rPr>
              <w:t xml:space="preserve"> gold exploration property in Southern Zimbabwe. </w:t>
            </w:r>
            <w:r w:rsidR="00E165F5" w:rsidRPr="00821F69">
              <w:rPr>
                <w:rFonts w:cstheme="minorHAnsi"/>
                <w:sz w:val="24"/>
                <w:szCs w:val="24"/>
                <w:lang w:val="en-ZA"/>
              </w:rPr>
              <w:t xml:space="preserve">Caledonia considers </w:t>
            </w:r>
            <w:proofErr w:type="spellStart"/>
            <w:r w:rsidR="00E165F5" w:rsidRPr="00821F69">
              <w:rPr>
                <w:rFonts w:cstheme="minorHAnsi"/>
                <w:sz w:val="24"/>
                <w:szCs w:val="24"/>
                <w:lang w:val="en-ZA"/>
              </w:rPr>
              <w:t>Motapa</w:t>
            </w:r>
            <w:proofErr w:type="spellEnd"/>
            <w:r w:rsidR="00E165F5" w:rsidRPr="00821F69">
              <w:rPr>
                <w:rFonts w:cstheme="minorHAnsi"/>
                <w:sz w:val="24"/>
                <w:szCs w:val="24"/>
                <w:lang w:val="en-ZA"/>
              </w:rPr>
              <w:t xml:space="preserve"> to be highly prospective and strategically important to its growth ambitions in Zimbabwe in terms of both location and scale, as it is a </w:t>
            </w:r>
            <w:r w:rsidR="003033E8" w:rsidRPr="00821F69">
              <w:rPr>
                <w:rFonts w:cstheme="minorHAnsi"/>
                <w:sz w:val="24"/>
                <w:szCs w:val="24"/>
                <w:lang w:val="en-ZA"/>
              </w:rPr>
              <w:t>large exploration property contiguous to the Bilboes gold project</w:t>
            </w:r>
            <w:r w:rsidR="00952C8B">
              <w:rPr>
                <w:rFonts w:cstheme="minorHAnsi"/>
                <w:sz w:val="24"/>
                <w:szCs w:val="24"/>
                <w:lang w:val="en-ZA"/>
              </w:rPr>
              <w:t xml:space="preserve"> (see below)</w:t>
            </w:r>
            <w:r w:rsidR="00E165F5" w:rsidRPr="00821F69">
              <w:rPr>
                <w:rFonts w:cstheme="minorHAnsi"/>
                <w:sz w:val="24"/>
                <w:szCs w:val="24"/>
                <w:lang w:val="en-ZA"/>
              </w:rPr>
              <w:t>.</w:t>
            </w:r>
            <w:r w:rsidR="00917E2D">
              <w:t xml:space="preserve"> </w:t>
            </w:r>
            <w:r w:rsidR="00917E2D" w:rsidRPr="00821F69">
              <w:rPr>
                <w:rFonts w:cstheme="minorHAnsi"/>
                <w:sz w:val="24"/>
                <w:szCs w:val="24"/>
                <w:lang w:val="en-ZA"/>
              </w:rPr>
              <w:t>The area was formerly explored by Anglo American Zimbabwe prior to its exit from the Zimbabwean gold sector in the late 1990s. It is approximately 75km north of Bulawayo with a mining lease covering approximately 2,200 hectares.</w:t>
            </w:r>
            <w:r w:rsidR="00952C8B">
              <w:rPr>
                <w:rFonts w:cstheme="minorHAnsi"/>
                <w:sz w:val="24"/>
                <w:szCs w:val="24"/>
                <w:lang w:val="en-ZA"/>
              </w:rPr>
              <w:t xml:space="preserve">  The consideration </w:t>
            </w:r>
            <w:r w:rsidR="00A30DF3">
              <w:rPr>
                <w:rFonts w:cstheme="minorHAnsi"/>
                <w:sz w:val="24"/>
                <w:szCs w:val="24"/>
                <w:lang w:val="en-ZA"/>
              </w:rPr>
              <w:t>paid</w:t>
            </w:r>
            <w:r w:rsidR="00952C8B">
              <w:rPr>
                <w:rFonts w:cstheme="minorHAnsi"/>
                <w:sz w:val="24"/>
                <w:szCs w:val="24"/>
                <w:lang w:val="en-ZA"/>
              </w:rPr>
              <w:t xml:space="preserve"> for </w:t>
            </w:r>
            <w:proofErr w:type="spellStart"/>
            <w:r w:rsidR="00952C8B">
              <w:rPr>
                <w:rFonts w:cstheme="minorHAnsi"/>
                <w:sz w:val="24"/>
                <w:szCs w:val="24"/>
                <w:lang w:val="en-ZA"/>
              </w:rPr>
              <w:t>Mot</w:t>
            </w:r>
            <w:r w:rsidR="002622FF">
              <w:rPr>
                <w:rFonts w:cstheme="minorHAnsi"/>
                <w:sz w:val="24"/>
                <w:szCs w:val="24"/>
                <w:lang w:val="en-ZA"/>
              </w:rPr>
              <w:t>apa</w:t>
            </w:r>
            <w:proofErr w:type="spellEnd"/>
            <w:r w:rsidR="002622FF">
              <w:rPr>
                <w:rFonts w:cstheme="minorHAnsi"/>
                <w:sz w:val="24"/>
                <w:szCs w:val="24"/>
                <w:lang w:val="en-ZA"/>
              </w:rPr>
              <w:t xml:space="preserve"> Mining Company UK Limited was US$8.25</w:t>
            </w:r>
            <w:r w:rsidR="00FB119C">
              <w:rPr>
                <w:rFonts w:cstheme="minorHAnsi"/>
                <w:sz w:val="24"/>
                <w:szCs w:val="24"/>
                <w:lang w:val="en-ZA"/>
              </w:rPr>
              <w:t xml:space="preserve"> </w:t>
            </w:r>
            <w:r w:rsidR="002622FF">
              <w:rPr>
                <w:rFonts w:cstheme="minorHAnsi"/>
                <w:sz w:val="24"/>
                <w:szCs w:val="24"/>
                <w:lang w:val="en-ZA"/>
              </w:rPr>
              <w:t>m</w:t>
            </w:r>
            <w:r w:rsidR="00223DA6">
              <w:rPr>
                <w:rFonts w:cstheme="minorHAnsi"/>
                <w:sz w:val="24"/>
                <w:szCs w:val="24"/>
                <w:lang w:val="en-ZA"/>
              </w:rPr>
              <w:t>illion</w:t>
            </w:r>
            <w:r w:rsidR="002622FF">
              <w:rPr>
                <w:rFonts w:cstheme="minorHAnsi"/>
                <w:sz w:val="24"/>
                <w:szCs w:val="24"/>
                <w:lang w:val="en-ZA"/>
              </w:rPr>
              <w:t>.</w:t>
            </w:r>
            <w:r w:rsidR="00A75F5F">
              <w:rPr>
                <w:rFonts w:cstheme="minorHAnsi"/>
                <w:sz w:val="24"/>
                <w:szCs w:val="24"/>
                <w:lang w:val="en-ZA"/>
              </w:rPr>
              <w:t xml:space="preserve">  </w:t>
            </w:r>
          </w:p>
          <w:p w14:paraId="666976DC" w14:textId="77777777" w:rsidR="00BE0332" w:rsidRDefault="00BE0332" w:rsidP="008818B1">
            <w:pPr>
              <w:rPr>
                <w:rFonts w:cstheme="minorHAnsi"/>
                <w:sz w:val="24"/>
                <w:szCs w:val="24"/>
                <w:lang w:val="en-ZA"/>
              </w:rPr>
            </w:pPr>
          </w:p>
          <w:p w14:paraId="4F84428D" w14:textId="14CD0512" w:rsidR="00460038" w:rsidRDefault="00D30C46" w:rsidP="001030C8">
            <w:pPr>
              <w:pStyle w:val="ListParagraph"/>
              <w:numPr>
                <w:ilvl w:val="0"/>
                <w:numId w:val="3"/>
              </w:numPr>
              <w:ind w:left="325"/>
              <w:rPr>
                <w:rFonts w:cstheme="minorHAnsi"/>
                <w:sz w:val="24"/>
                <w:szCs w:val="24"/>
                <w:lang w:val="en-ZA"/>
              </w:rPr>
            </w:pPr>
            <w:r w:rsidRPr="00821F69">
              <w:rPr>
                <w:rFonts w:cstheme="minorHAnsi"/>
                <w:sz w:val="24"/>
                <w:szCs w:val="24"/>
                <w:lang w:val="en-ZA"/>
              </w:rPr>
              <w:t xml:space="preserve">In </w:t>
            </w:r>
            <w:r w:rsidR="001030C8">
              <w:rPr>
                <w:rFonts w:cstheme="minorHAnsi"/>
                <w:sz w:val="24"/>
                <w:szCs w:val="24"/>
                <w:lang w:val="en-ZA"/>
              </w:rPr>
              <w:t>January 2023</w:t>
            </w:r>
            <w:r w:rsidRPr="00821F69">
              <w:rPr>
                <w:rFonts w:cstheme="minorHAnsi"/>
                <w:sz w:val="24"/>
                <w:szCs w:val="24"/>
                <w:lang w:val="en-ZA"/>
              </w:rPr>
              <w:t>, Caledonia announced that it had purchase</w:t>
            </w:r>
            <w:r w:rsidR="001030C8">
              <w:rPr>
                <w:rFonts w:cstheme="minorHAnsi"/>
                <w:sz w:val="24"/>
                <w:szCs w:val="24"/>
                <w:lang w:val="en-ZA"/>
              </w:rPr>
              <w:t>d</w:t>
            </w:r>
            <w:r w:rsidRPr="00821F69">
              <w:rPr>
                <w:rFonts w:cstheme="minorHAnsi"/>
                <w:sz w:val="24"/>
                <w:szCs w:val="24"/>
                <w:lang w:val="en-ZA"/>
              </w:rPr>
              <w:t xml:space="preserve"> Bilboes Gold Limited, the holding company of a </w:t>
            </w:r>
            <w:r w:rsidR="00F63A01">
              <w:rPr>
                <w:rFonts w:cstheme="minorHAnsi"/>
                <w:sz w:val="24"/>
                <w:szCs w:val="24"/>
                <w:lang w:val="en-ZA"/>
              </w:rPr>
              <w:t xml:space="preserve">Zimbabwe subsidiary that holds mining claims in an </w:t>
            </w:r>
            <w:r w:rsidRPr="00821F69">
              <w:rPr>
                <w:rFonts w:cstheme="minorHAnsi"/>
                <w:sz w:val="24"/>
                <w:szCs w:val="24"/>
                <w:lang w:val="en-ZA"/>
              </w:rPr>
              <w:t xml:space="preserve">area known as Bilboes in Zimbabwe’s </w:t>
            </w:r>
            <w:proofErr w:type="spellStart"/>
            <w:r w:rsidRPr="00821F69">
              <w:rPr>
                <w:rFonts w:cstheme="minorHAnsi"/>
                <w:sz w:val="24"/>
                <w:szCs w:val="24"/>
                <w:lang w:val="en-ZA"/>
              </w:rPr>
              <w:t>Matebeland</w:t>
            </w:r>
            <w:proofErr w:type="spellEnd"/>
            <w:r w:rsidRPr="00821F69">
              <w:rPr>
                <w:rFonts w:cstheme="minorHAnsi"/>
                <w:sz w:val="24"/>
                <w:szCs w:val="24"/>
                <w:lang w:val="en-ZA"/>
              </w:rPr>
              <w:t xml:space="preserve"> South</w:t>
            </w:r>
            <w:r w:rsidR="00E513BB" w:rsidRPr="00821F69">
              <w:rPr>
                <w:rFonts w:cstheme="minorHAnsi"/>
                <w:sz w:val="24"/>
                <w:szCs w:val="24"/>
                <w:lang w:val="en-ZA"/>
              </w:rPr>
              <w:t xml:space="preserve">.  </w:t>
            </w:r>
            <w:r w:rsidR="00460038" w:rsidRPr="00460038">
              <w:rPr>
                <w:rFonts w:cstheme="minorHAnsi"/>
                <w:sz w:val="24"/>
                <w:szCs w:val="24"/>
                <w:lang w:val="en-ZA"/>
              </w:rPr>
              <w:t>The project covers 2,731.60 hectares (10.55 square miles) in Matabeleland North province, approximately 80 kilometres north of Bulawayo, Zimbabwe's second largest city. Caledonia acquired 100% ownership of Bilboes in January 2023 for US$65 million, settled through the issue of approximately 5.1 million Caledonia shares, and the grant of a 1% net smelter royalty to a previous owner. The mineral reserve and mineral resource bases at Bilboes are substantial.</w:t>
            </w:r>
          </w:p>
          <w:p w14:paraId="1FF9EE78" w14:textId="77777777" w:rsidR="00460038" w:rsidRPr="007C246B" w:rsidRDefault="00460038" w:rsidP="007C246B">
            <w:pPr>
              <w:pStyle w:val="ListParagraph"/>
              <w:rPr>
                <w:rFonts w:cstheme="minorHAnsi"/>
                <w:sz w:val="24"/>
                <w:szCs w:val="24"/>
                <w:lang w:val="en-ZA"/>
              </w:rPr>
            </w:pPr>
          </w:p>
          <w:p w14:paraId="785F142F" w14:textId="56172DA7" w:rsidR="00E513BB" w:rsidRPr="007C246B" w:rsidRDefault="00E513BB" w:rsidP="007C246B">
            <w:pPr>
              <w:pStyle w:val="ListParagraph"/>
              <w:ind w:left="325"/>
              <w:rPr>
                <w:rFonts w:cstheme="minorHAnsi"/>
                <w:sz w:val="24"/>
                <w:szCs w:val="24"/>
                <w:lang w:val="en-ZA"/>
              </w:rPr>
            </w:pPr>
            <w:r w:rsidRPr="00821F69">
              <w:rPr>
                <w:rFonts w:cstheme="minorHAnsi"/>
                <w:sz w:val="24"/>
                <w:szCs w:val="24"/>
                <w:lang w:val="en-ZA"/>
              </w:rPr>
              <w:lastRenderedPageBreak/>
              <w:t>Bilboes</w:t>
            </w:r>
            <w:r w:rsidR="006A1325">
              <w:rPr>
                <w:rFonts w:cstheme="minorHAnsi"/>
                <w:sz w:val="24"/>
                <w:szCs w:val="24"/>
                <w:lang w:val="en-ZA"/>
              </w:rPr>
              <w:t>’ previous owners</w:t>
            </w:r>
            <w:r w:rsidRPr="00821F69">
              <w:rPr>
                <w:rFonts w:cstheme="minorHAnsi"/>
                <w:sz w:val="24"/>
                <w:szCs w:val="24"/>
                <w:lang w:val="en-ZA"/>
              </w:rPr>
              <w:t xml:space="preserve"> </w:t>
            </w:r>
            <w:r w:rsidR="00B242DE">
              <w:rPr>
                <w:rFonts w:cstheme="minorHAnsi"/>
                <w:sz w:val="24"/>
                <w:szCs w:val="24"/>
                <w:lang w:val="en-ZA"/>
              </w:rPr>
              <w:t xml:space="preserve">had </w:t>
            </w:r>
            <w:r w:rsidR="00122975">
              <w:rPr>
                <w:rFonts w:cstheme="minorHAnsi"/>
                <w:sz w:val="24"/>
                <w:szCs w:val="24"/>
                <w:lang w:val="en-ZA"/>
              </w:rPr>
              <w:t xml:space="preserve">produced a technical report </w:t>
            </w:r>
            <w:r w:rsidR="00B242DE">
              <w:rPr>
                <w:rFonts w:cstheme="minorHAnsi"/>
                <w:sz w:val="24"/>
                <w:szCs w:val="24"/>
                <w:lang w:val="en-ZA"/>
              </w:rPr>
              <w:t xml:space="preserve">and </w:t>
            </w:r>
            <w:r w:rsidR="00263221">
              <w:rPr>
                <w:rFonts w:cstheme="minorHAnsi"/>
                <w:sz w:val="24"/>
                <w:szCs w:val="24"/>
                <w:lang w:val="en-ZA"/>
              </w:rPr>
              <w:t xml:space="preserve">Caledonia decided to commission its own updated feasibility study after acquiring the project.  </w:t>
            </w:r>
            <w:r w:rsidR="00263221" w:rsidRPr="007C246B">
              <w:rPr>
                <w:rFonts w:cstheme="minorHAnsi"/>
                <w:sz w:val="24"/>
                <w:szCs w:val="24"/>
                <w:lang w:val="en-ZA"/>
              </w:rPr>
              <w:t xml:space="preserve">Caledonia </w:t>
            </w:r>
            <w:r w:rsidR="00FE5D1D" w:rsidRPr="007C246B">
              <w:rPr>
                <w:rFonts w:cstheme="minorHAnsi"/>
                <w:sz w:val="24"/>
                <w:szCs w:val="24"/>
                <w:lang w:val="en-ZA"/>
              </w:rPr>
              <w:t xml:space="preserve">announced on November 25, 2025 that </w:t>
            </w:r>
            <w:r w:rsidR="00927EF2" w:rsidRPr="007C246B">
              <w:rPr>
                <w:rFonts w:cstheme="minorHAnsi"/>
                <w:sz w:val="24"/>
                <w:szCs w:val="24"/>
                <w:lang w:val="en-ZA"/>
              </w:rPr>
              <w:t xml:space="preserve">it had decided to proceed with the project following completion and publication of a feasibility study </w:t>
            </w:r>
            <w:r w:rsidR="00344C06" w:rsidRPr="007C246B">
              <w:rPr>
                <w:rFonts w:cstheme="minorHAnsi"/>
                <w:sz w:val="24"/>
                <w:szCs w:val="24"/>
                <w:lang w:val="en-ZA"/>
              </w:rPr>
              <w:t>in the form of a technical report summary</w:t>
            </w:r>
            <w:r w:rsidR="00A91427" w:rsidRPr="007C246B">
              <w:rPr>
                <w:rFonts w:cstheme="minorHAnsi"/>
                <w:sz w:val="24"/>
                <w:szCs w:val="24"/>
                <w:lang w:val="en-ZA"/>
              </w:rPr>
              <w:t xml:space="preserve"> (the “Bilboes Feasibility Study”)</w:t>
            </w:r>
            <w:r w:rsidR="00E46DDD" w:rsidRPr="007C246B">
              <w:rPr>
                <w:rFonts w:cstheme="minorHAnsi"/>
                <w:sz w:val="24"/>
                <w:szCs w:val="24"/>
                <w:lang w:val="en-ZA"/>
              </w:rPr>
              <w:t xml:space="preserve">.  </w:t>
            </w:r>
            <w:r w:rsidR="008D6361" w:rsidRPr="007C246B">
              <w:rPr>
                <w:rFonts w:cstheme="minorHAnsi"/>
                <w:sz w:val="24"/>
                <w:szCs w:val="24"/>
                <w:lang w:val="en-ZA"/>
              </w:rPr>
              <w:t xml:space="preserve">  The focus of Caledonia’s growth strategy is on developing Bilboes</w:t>
            </w:r>
            <w:r w:rsidR="008A0A17" w:rsidRPr="007C246B">
              <w:rPr>
                <w:rFonts w:cstheme="minorHAnsi"/>
                <w:sz w:val="24"/>
                <w:szCs w:val="24"/>
                <w:lang w:val="en-ZA"/>
              </w:rPr>
              <w:t>.</w:t>
            </w:r>
          </w:p>
          <w:p w14:paraId="0E64E622" w14:textId="77777777" w:rsidR="00B671DE" w:rsidRDefault="00B671DE" w:rsidP="00B671DE">
            <w:pPr>
              <w:rPr>
                <w:rFonts w:cstheme="minorHAnsi"/>
                <w:sz w:val="24"/>
                <w:szCs w:val="24"/>
                <w:lang w:val="en-ZA"/>
              </w:rPr>
            </w:pPr>
          </w:p>
          <w:p w14:paraId="7B604D4F" w14:textId="28708620" w:rsidR="00B671DE" w:rsidRDefault="00552289" w:rsidP="00B671DE">
            <w:pPr>
              <w:ind w:left="319"/>
              <w:rPr>
                <w:rFonts w:cstheme="minorHAnsi"/>
                <w:sz w:val="24"/>
                <w:szCs w:val="24"/>
                <w:lang w:val="en-ZA"/>
              </w:rPr>
            </w:pPr>
            <w:r>
              <w:rPr>
                <w:rFonts w:cstheme="minorHAnsi"/>
                <w:sz w:val="24"/>
                <w:szCs w:val="24"/>
                <w:lang w:val="en-ZA"/>
              </w:rPr>
              <w:t xml:space="preserve">The Company’s development plans for Bilboes are </w:t>
            </w:r>
            <w:r w:rsidR="00A12133">
              <w:rPr>
                <w:rFonts w:cstheme="minorHAnsi"/>
                <w:sz w:val="24"/>
                <w:szCs w:val="24"/>
                <w:lang w:val="en-ZA"/>
              </w:rPr>
              <w:t xml:space="preserve">well </w:t>
            </w:r>
            <w:r>
              <w:rPr>
                <w:rFonts w:cstheme="minorHAnsi"/>
                <w:sz w:val="24"/>
                <w:szCs w:val="24"/>
                <w:lang w:val="en-ZA"/>
              </w:rPr>
              <w:t xml:space="preserve">underway – in </w:t>
            </w:r>
            <w:r w:rsidR="00F451EE" w:rsidRPr="00F451EE">
              <w:rPr>
                <w:rFonts w:cstheme="minorHAnsi"/>
                <w:sz w:val="24"/>
                <w:szCs w:val="24"/>
                <w:lang w:val="en-ZA"/>
              </w:rPr>
              <w:t>December 2025, Caledonia purchased put options to lock in a minimum gold price of US$3,500 per ounce over 3,000 ounces per month from January 2026 to December 2028.  The hedging arrangements are designed to underpin cash receipts by Caledonia from Blanket Mine over the next three years from January 1, 2026 to December 31, 2028, which broadly coincides with the peak capital investment period for the Bilboes gold project.</w:t>
            </w:r>
            <w:r w:rsidR="00350FA4">
              <w:t xml:space="preserve"> </w:t>
            </w:r>
            <w:r w:rsidR="00350FA4">
              <w:rPr>
                <w:rFonts w:cstheme="minorHAnsi"/>
                <w:sz w:val="24"/>
                <w:szCs w:val="24"/>
                <w:lang w:val="en-ZA"/>
              </w:rPr>
              <w:t>In</w:t>
            </w:r>
            <w:r w:rsidR="00350FA4" w:rsidRPr="00350FA4">
              <w:rPr>
                <w:rFonts w:cstheme="minorHAnsi"/>
                <w:sz w:val="24"/>
                <w:szCs w:val="24"/>
                <w:lang w:val="en-ZA"/>
              </w:rPr>
              <w:t xml:space="preserve"> </w:t>
            </w:r>
            <w:r w:rsidR="00350FA4">
              <w:rPr>
                <w:rFonts w:cstheme="minorHAnsi"/>
                <w:sz w:val="24"/>
                <w:szCs w:val="24"/>
                <w:lang w:val="en-ZA"/>
              </w:rPr>
              <w:t>January 2026, the Company</w:t>
            </w:r>
            <w:r w:rsidR="000F51C1">
              <w:t xml:space="preserve"> </w:t>
            </w:r>
            <w:r w:rsidR="00350FA4">
              <w:rPr>
                <w:rFonts w:cstheme="minorHAnsi"/>
                <w:sz w:val="24"/>
                <w:szCs w:val="24"/>
                <w:lang w:val="en-ZA"/>
              </w:rPr>
              <w:t>closed a</w:t>
            </w:r>
            <w:r w:rsidR="000F51C1" w:rsidRPr="000F51C1">
              <w:rPr>
                <w:rFonts w:cstheme="minorHAnsi"/>
                <w:sz w:val="24"/>
                <w:szCs w:val="24"/>
                <w:lang w:val="en-ZA"/>
              </w:rPr>
              <w:t xml:space="preserve"> US$150 million, 7-year convertible senior notes offering, which received exceptionally strong support from institutional investors in the United States. Investor demand exceeded US$600 million after three days of marketing which led to an upsizing of the offering from US$100 million to US$125 million, and resulted in a total of US$150 million following the exercise by the initial purchasers of their option to buy a further US$25 million of notes.</w:t>
            </w:r>
          </w:p>
          <w:p w14:paraId="1F5C976E" w14:textId="08239F41" w:rsidR="00A90840" w:rsidRPr="00B671DE" w:rsidRDefault="00651EB6" w:rsidP="00651EB6">
            <w:pPr>
              <w:ind w:left="319"/>
              <w:rPr>
                <w:rFonts w:cstheme="minorHAnsi"/>
                <w:sz w:val="24"/>
                <w:szCs w:val="24"/>
                <w:lang w:val="en-ZA"/>
              </w:rPr>
            </w:pPr>
            <w:r w:rsidRPr="00651EB6">
              <w:rPr>
                <w:rFonts w:cstheme="minorHAnsi"/>
                <w:sz w:val="24"/>
                <w:szCs w:val="24"/>
                <w:lang w:val="en-ZA"/>
              </w:rPr>
              <w:t>Caledonia</w:t>
            </w:r>
            <w:r>
              <w:rPr>
                <w:rFonts w:cstheme="minorHAnsi"/>
                <w:sz w:val="24"/>
                <w:szCs w:val="24"/>
                <w:lang w:val="en-ZA"/>
              </w:rPr>
              <w:t xml:space="preserve"> has</w:t>
            </w:r>
            <w:r w:rsidRPr="00651EB6">
              <w:rPr>
                <w:rFonts w:cstheme="minorHAnsi"/>
                <w:sz w:val="24"/>
                <w:szCs w:val="24"/>
                <w:lang w:val="en-ZA"/>
              </w:rPr>
              <w:t xml:space="preserve"> launched a process to arrange an interim funding facility of up to US$150 million with a consortium of Zimbabwean and South African commercial banks.</w:t>
            </w:r>
            <w:r>
              <w:rPr>
                <w:rFonts w:cstheme="minorHAnsi"/>
                <w:sz w:val="24"/>
                <w:szCs w:val="24"/>
                <w:lang w:val="en-ZA"/>
              </w:rPr>
              <w:t xml:space="preserve"> </w:t>
            </w:r>
            <w:r w:rsidRPr="00651EB6">
              <w:rPr>
                <w:rFonts w:cstheme="minorHAnsi"/>
                <w:sz w:val="24"/>
                <w:szCs w:val="24"/>
                <w:lang w:val="en-ZA"/>
              </w:rPr>
              <w:t xml:space="preserve">Following encouraging engagement with the banks, the Company expects that this facility can be in place by mid-2026, subject to the usual lender processes. </w:t>
            </w:r>
            <w:r w:rsidR="00F1635F">
              <w:rPr>
                <w:rFonts w:cstheme="minorHAnsi"/>
                <w:sz w:val="24"/>
                <w:szCs w:val="24"/>
                <w:lang w:val="en-ZA"/>
              </w:rPr>
              <w:t>C</w:t>
            </w:r>
            <w:r w:rsidR="00BF36DC" w:rsidRPr="00BF36DC">
              <w:rPr>
                <w:rFonts w:cstheme="minorHAnsi"/>
                <w:sz w:val="24"/>
                <w:szCs w:val="24"/>
                <w:lang w:val="en-ZA"/>
              </w:rPr>
              <w:t>aledonia has had ongoing preliminary discussions with regional and global financial institutions to explore the scope and structure of project finance to support the construction of the Bilboes project</w:t>
            </w:r>
            <w:r w:rsidR="00464905">
              <w:rPr>
                <w:rFonts w:cstheme="minorHAnsi"/>
                <w:sz w:val="24"/>
                <w:szCs w:val="24"/>
                <w:lang w:val="en-ZA"/>
              </w:rPr>
              <w:t xml:space="preserve"> and expects to </w:t>
            </w:r>
            <w:r w:rsidR="00464905" w:rsidRPr="00464905">
              <w:rPr>
                <w:rFonts w:cstheme="minorHAnsi"/>
                <w:sz w:val="24"/>
                <w:szCs w:val="24"/>
                <w:lang w:val="en-ZA"/>
              </w:rPr>
              <w:t>commence a formal process in the first quarter of 2026.  This process is expected to take a year or more as project financiers undertake independent assessments of the mineral resources at Bilboes and the Bilboes Feasibility Study.</w:t>
            </w:r>
          </w:p>
          <w:p w14:paraId="603473BF" w14:textId="77777777" w:rsidR="002622FF" w:rsidRDefault="002622FF" w:rsidP="002622FF">
            <w:pPr>
              <w:rPr>
                <w:rFonts w:cstheme="minorHAnsi"/>
                <w:sz w:val="24"/>
                <w:szCs w:val="24"/>
                <w:lang w:val="en-ZA"/>
              </w:rPr>
            </w:pPr>
          </w:p>
          <w:p w14:paraId="104E38D6" w14:textId="2B8F1005" w:rsidR="000E2CAF" w:rsidRDefault="000E2CAF" w:rsidP="002622FF">
            <w:pPr>
              <w:rPr>
                <w:rFonts w:cstheme="minorHAnsi"/>
                <w:sz w:val="24"/>
                <w:szCs w:val="24"/>
                <w:lang w:val="en-ZA"/>
              </w:rPr>
            </w:pPr>
            <w:r>
              <w:rPr>
                <w:rFonts w:cstheme="minorHAnsi"/>
                <w:sz w:val="24"/>
                <w:szCs w:val="24"/>
                <w:lang w:val="en-ZA"/>
              </w:rPr>
              <w:t xml:space="preserve">A summary of the mineral resources at the Company’s projects </w:t>
            </w:r>
            <w:r w:rsidR="004644CD">
              <w:rPr>
                <w:rFonts w:cstheme="minorHAnsi"/>
                <w:sz w:val="24"/>
                <w:szCs w:val="24"/>
                <w:lang w:val="en-ZA"/>
              </w:rPr>
              <w:t>as at the end of December 2024 is</w:t>
            </w:r>
            <w:r>
              <w:rPr>
                <w:rFonts w:cstheme="minorHAnsi"/>
                <w:sz w:val="24"/>
                <w:szCs w:val="24"/>
                <w:lang w:val="en-ZA"/>
              </w:rPr>
              <w:t xml:space="preserve"> as follows:</w:t>
            </w:r>
          </w:p>
          <w:p w14:paraId="2618242A" w14:textId="77777777" w:rsidR="000E2CAF" w:rsidRDefault="000E2CAF" w:rsidP="002622FF">
            <w:pPr>
              <w:rPr>
                <w:rFonts w:cstheme="minorHAnsi"/>
                <w:sz w:val="24"/>
                <w:szCs w:val="24"/>
                <w:lang w:val="en-ZA"/>
              </w:rPr>
            </w:pPr>
          </w:p>
          <w:p w14:paraId="108EE5B4" w14:textId="2A171A64" w:rsidR="000E2CAF" w:rsidRDefault="000E2CAF" w:rsidP="002622FF">
            <w:pPr>
              <w:rPr>
                <w:rFonts w:cstheme="minorHAnsi"/>
                <w:sz w:val="24"/>
                <w:szCs w:val="24"/>
                <w:lang w:val="en-ZA"/>
              </w:rPr>
            </w:pPr>
            <w:r w:rsidRPr="000E2CAF">
              <w:rPr>
                <w:rFonts w:cstheme="minorHAnsi"/>
                <w:noProof/>
                <w:sz w:val="24"/>
                <w:szCs w:val="24"/>
                <w:lang w:val="en-ZA"/>
              </w:rPr>
              <w:lastRenderedPageBreak/>
              <w:drawing>
                <wp:inline distT="0" distB="0" distL="0" distR="0" wp14:anchorId="535C33F0" wp14:editId="13414E37">
                  <wp:extent cx="6523990" cy="2326005"/>
                  <wp:effectExtent l="0" t="0" r="0" b="0"/>
                  <wp:docPr id="1752257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57280" name=""/>
                          <pic:cNvPicPr/>
                        </pic:nvPicPr>
                        <pic:blipFill>
                          <a:blip r:embed="rId8"/>
                          <a:stretch>
                            <a:fillRect/>
                          </a:stretch>
                        </pic:blipFill>
                        <pic:spPr>
                          <a:xfrm>
                            <a:off x="0" y="0"/>
                            <a:ext cx="6523990" cy="2326005"/>
                          </a:xfrm>
                          <a:prstGeom prst="rect">
                            <a:avLst/>
                          </a:prstGeom>
                        </pic:spPr>
                      </pic:pic>
                    </a:graphicData>
                  </a:graphic>
                </wp:inline>
              </w:drawing>
            </w:r>
          </w:p>
          <w:p w14:paraId="1503A86B" w14:textId="77777777" w:rsidR="000E2CAF" w:rsidRPr="00821F69" w:rsidRDefault="000E2CAF" w:rsidP="002622FF">
            <w:pPr>
              <w:rPr>
                <w:rFonts w:cstheme="minorHAnsi"/>
                <w:sz w:val="24"/>
                <w:szCs w:val="24"/>
                <w:lang w:val="en-ZA"/>
              </w:rPr>
            </w:pPr>
          </w:p>
          <w:p w14:paraId="3357C1E1" w14:textId="75868267" w:rsidR="000E2CAF" w:rsidRDefault="00BE0332" w:rsidP="008818B1">
            <w:pPr>
              <w:rPr>
                <w:rFonts w:cstheme="minorHAnsi"/>
                <w:sz w:val="24"/>
                <w:szCs w:val="24"/>
                <w:lang w:val="en-ZA"/>
              </w:rPr>
            </w:pPr>
            <w:r>
              <w:rPr>
                <w:rFonts w:cstheme="minorHAnsi"/>
                <w:sz w:val="24"/>
                <w:szCs w:val="24"/>
                <w:lang w:val="en-ZA"/>
              </w:rPr>
              <w:t xml:space="preserve">Copies of the technical reports </w:t>
            </w:r>
            <w:r w:rsidR="001A1075">
              <w:rPr>
                <w:rFonts w:cstheme="minorHAnsi"/>
                <w:sz w:val="24"/>
                <w:szCs w:val="24"/>
                <w:lang w:val="en-ZA"/>
              </w:rPr>
              <w:t>providing comprehensive details of</w:t>
            </w:r>
            <w:r w:rsidR="006342D3">
              <w:rPr>
                <w:rFonts w:cstheme="minorHAnsi"/>
                <w:sz w:val="24"/>
                <w:szCs w:val="24"/>
                <w:lang w:val="en-ZA"/>
              </w:rPr>
              <w:t xml:space="preserve"> </w:t>
            </w:r>
            <w:r w:rsidR="000E2CAF">
              <w:rPr>
                <w:rFonts w:cstheme="minorHAnsi"/>
                <w:sz w:val="24"/>
                <w:szCs w:val="24"/>
                <w:lang w:val="en-ZA"/>
              </w:rPr>
              <w:t xml:space="preserve">all of the project’s </w:t>
            </w:r>
            <w:r w:rsidR="006A4B73">
              <w:rPr>
                <w:rFonts w:cstheme="minorHAnsi"/>
                <w:sz w:val="24"/>
                <w:szCs w:val="24"/>
                <w:lang w:val="en-ZA"/>
              </w:rPr>
              <w:t xml:space="preserve">mineral </w:t>
            </w:r>
            <w:r w:rsidR="006342D3">
              <w:rPr>
                <w:rFonts w:cstheme="minorHAnsi"/>
                <w:sz w:val="24"/>
                <w:szCs w:val="24"/>
                <w:lang w:val="en-ZA"/>
              </w:rPr>
              <w:t xml:space="preserve">resources </w:t>
            </w:r>
            <w:r w:rsidR="001A1075">
              <w:rPr>
                <w:rFonts w:cstheme="minorHAnsi"/>
                <w:sz w:val="24"/>
                <w:szCs w:val="24"/>
                <w:lang w:val="en-ZA"/>
              </w:rPr>
              <w:t>and reserves</w:t>
            </w:r>
            <w:r w:rsidR="000E2CAF">
              <w:rPr>
                <w:rFonts w:cstheme="minorHAnsi"/>
                <w:sz w:val="24"/>
                <w:szCs w:val="24"/>
                <w:lang w:val="en-ZA"/>
              </w:rPr>
              <w:t xml:space="preserve"> </w:t>
            </w:r>
            <w:r w:rsidR="006342D3">
              <w:rPr>
                <w:rFonts w:cstheme="minorHAnsi"/>
                <w:sz w:val="24"/>
                <w:szCs w:val="24"/>
                <w:lang w:val="en-ZA"/>
              </w:rPr>
              <w:t xml:space="preserve">can be found on Caledonia’s website </w:t>
            </w:r>
            <w:hyperlink r:id="rId9" w:history="1">
              <w:r w:rsidR="00B4252C" w:rsidRPr="009E4958">
                <w:rPr>
                  <w:rStyle w:val="Hyperlink"/>
                  <w:rFonts w:cstheme="minorHAnsi"/>
                  <w:sz w:val="24"/>
                  <w:szCs w:val="24"/>
                  <w:lang w:val="en-ZA"/>
                </w:rPr>
                <w:t>here</w:t>
              </w:r>
            </w:hyperlink>
            <w:r w:rsidR="0085041F">
              <w:t>,</w:t>
            </w:r>
            <w:r w:rsidR="00B4252C">
              <w:rPr>
                <w:rFonts w:cstheme="minorHAnsi"/>
                <w:sz w:val="24"/>
                <w:szCs w:val="24"/>
                <w:lang w:val="en-ZA"/>
              </w:rPr>
              <w:t xml:space="preserve"> </w:t>
            </w:r>
            <w:r w:rsidR="006342D3">
              <w:rPr>
                <w:rFonts w:cstheme="minorHAnsi"/>
                <w:sz w:val="24"/>
                <w:szCs w:val="24"/>
                <w:lang w:val="en-ZA"/>
              </w:rPr>
              <w:t>on SEDAR</w:t>
            </w:r>
            <w:r w:rsidR="00B60872">
              <w:rPr>
                <w:rFonts w:cstheme="minorHAnsi"/>
                <w:sz w:val="24"/>
                <w:szCs w:val="24"/>
                <w:lang w:val="en-ZA"/>
              </w:rPr>
              <w:t xml:space="preserve">+ and </w:t>
            </w:r>
            <w:r w:rsidR="00501C77">
              <w:rPr>
                <w:rFonts w:cstheme="minorHAnsi"/>
                <w:sz w:val="24"/>
                <w:szCs w:val="24"/>
                <w:lang w:val="en-ZA"/>
              </w:rPr>
              <w:t xml:space="preserve">on </w:t>
            </w:r>
            <w:r w:rsidR="00B60872">
              <w:rPr>
                <w:rFonts w:cstheme="minorHAnsi"/>
                <w:sz w:val="24"/>
                <w:szCs w:val="24"/>
                <w:lang w:val="en-ZA"/>
              </w:rPr>
              <w:t>EDGAR</w:t>
            </w:r>
            <w:r w:rsidR="006342D3">
              <w:rPr>
                <w:rFonts w:cstheme="minorHAnsi"/>
                <w:sz w:val="24"/>
                <w:szCs w:val="24"/>
                <w:lang w:val="en-ZA"/>
              </w:rPr>
              <w:t xml:space="preserve">.  </w:t>
            </w:r>
          </w:p>
          <w:p w14:paraId="768161BD" w14:textId="77777777" w:rsidR="000E2CAF" w:rsidRDefault="000E2CAF" w:rsidP="008818B1">
            <w:pPr>
              <w:rPr>
                <w:rFonts w:cstheme="minorHAnsi"/>
                <w:sz w:val="24"/>
                <w:szCs w:val="24"/>
                <w:lang w:val="en-ZA"/>
              </w:rPr>
            </w:pPr>
          </w:p>
          <w:p w14:paraId="1E70348D" w14:textId="0859EDC9" w:rsidR="007878CD" w:rsidRDefault="007878CD" w:rsidP="008818B1">
            <w:pPr>
              <w:rPr>
                <w:rStyle w:val="Hyperlink"/>
                <w:rFonts w:cstheme="minorHAnsi"/>
                <w:sz w:val="24"/>
                <w:szCs w:val="24"/>
                <w:lang w:val="en-ZA"/>
              </w:rPr>
            </w:pPr>
            <w:r w:rsidRPr="00E57C84">
              <w:rPr>
                <w:rFonts w:cstheme="minorHAnsi"/>
                <w:sz w:val="24"/>
                <w:szCs w:val="24"/>
                <w:lang w:val="en-ZA"/>
              </w:rPr>
              <w:t xml:space="preserve">Further details of Caledonia’s strategy and progress can be found in its latest </w:t>
            </w:r>
            <w:r w:rsidR="001D7AC1">
              <w:rPr>
                <w:rFonts w:cstheme="minorHAnsi"/>
                <w:sz w:val="24"/>
                <w:szCs w:val="24"/>
                <w:lang w:val="en-ZA"/>
              </w:rPr>
              <w:t>management discussion and analysis</w:t>
            </w:r>
            <w:r w:rsidRPr="00E57C84">
              <w:rPr>
                <w:rFonts w:cstheme="minorHAnsi"/>
                <w:sz w:val="24"/>
                <w:szCs w:val="24"/>
                <w:lang w:val="en-ZA"/>
              </w:rPr>
              <w:t xml:space="preserve"> </w:t>
            </w:r>
            <w:hyperlink r:id="rId10" w:history="1">
              <w:r w:rsidRPr="001A1075">
                <w:rPr>
                  <w:rStyle w:val="Hyperlink"/>
                  <w:rFonts w:cstheme="minorHAnsi"/>
                  <w:sz w:val="24"/>
                  <w:szCs w:val="24"/>
                  <w:lang w:val="en-ZA"/>
                </w:rPr>
                <w:t>here</w:t>
              </w:r>
            </w:hyperlink>
            <w:r w:rsidR="00EB045D">
              <w:rPr>
                <w:rFonts w:cstheme="minorHAnsi"/>
                <w:sz w:val="24"/>
                <w:szCs w:val="24"/>
                <w:lang w:val="en-ZA"/>
              </w:rPr>
              <w:t xml:space="preserve"> and</w:t>
            </w:r>
            <w:r w:rsidR="001D7AC1" w:rsidRPr="00E57C84">
              <w:rPr>
                <w:rFonts w:cstheme="minorHAnsi"/>
                <w:sz w:val="24"/>
                <w:szCs w:val="24"/>
                <w:lang w:val="en-ZA"/>
              </w:rPr>
              <w:t xml:space="preserve"> </w:t>
            </w:r>
            <w:r w:rsidR="00337DE8">
              <w:rPr>
                <w:rFonts w:cstheme="minorHAnsi"/>
                <w:sz w:val="24"/>
                <w:szCs w:val="24"/>
                <w:lang w:val="en-ZA"/>
              </w:rPr>
              <w:t xml:space="preserve">its </w:t>
            </w:r>
            <w:r w:rsidR="001D7AC1" w:rsidRPr="00E57C84">
              <w:rPr>
                <w:rFonts w:cstheme="minorHAnsi"/>
                <w:sz w:val="24"/>
                <w:szCs w:val="24"/>
                <w:lang w:val="en-ZA"/>
              </w:rPr>
              <w:t>RNS announcement</w:t>
            </w:r>
            <w:r w:rsidR="001D7AC1">
              <w:rPr>
                <w:rFonts w:cstheme="minorHAnsi"/>
                <w:sz w:val="24"/>
                <w:szCs w:val="24"/>
                <w:lang w:val="en-ZA"/>
              </w:rPr>
              <w:t>s</w:t>
            </w:r>
            <w:r w:rsidR="001D7AC1" w:rsidRPr="00E57C84">
              <w:rPr>
                <w:rFonts w:cstheme="minorHAnsi"/>
                <w:sz w:val="24"/>
                <w:szCs w:val="24"/>
                <w:lang w:val="en-ZA"/>
              </w:rPr>
              <w:t xml:space="preserve"> </w:t>
            </w:r>
            <w:hyperlink r:id="rId11" w:history="1">
              <w:r w:rsidR="001D7AC1" w:rsidRPr="00E57C84">
                <w:rPr>
                  <w:rStyle w:val="Hyperlink"/>
                  <w:rFonts w:cstheme="minorHAnsi"/>
                  <w:sz w:val="24"/>
                  <w:szCs w:val="24"/>
                  <w:lang w:val="en-ZA"/>
                </w:rPr>
                <w:t>here</w:t>
              </w:r>
            </w:hyperlink>
            <w:r w:rsidR="00EB045D">
              <w:rPr>
                <w:rStyle w:val="Hyperlink"/>
                <w:rFonts w:cstheme="minorHAnsi"/>
                <w:sz w:val="24"/>
                <w:szCs w:val="24"/>
                <w:lang w:val="en-ZA"/>
              </w:rPr>
              <w:t>.</w:t>
            </w:r>
          </w:p>
          <w:p w14:paraId="63E8AB80" w14:textId="312E94BB" w:rsidR="00CC0020" w:rsidRPr="00E57C84" w:rsidRDefault="00CC0020" w:rsidP="008818B1">
            <w:pPr>
              <w:rPr>
                <w:rFonts w:cstheme="minorHAnsi"/>
                <w:sz w:val="24"/>
                <w:szCs w:val="24"/>
                <w:lang w:val="en-ZA"/>
              </w:rPr>
            </w:pPr>
          </w:p>
          <w:p w14:paraId="0A734FFD" w14:textId="1D06321D" w:rsidR="00CC0020" w:rsidRPr="00E57C84" w:rsidRDefault="00CC0020" w:rsidP="008818B1">
            <w:pPr>
              <w:rPr>
                <w:rFonts w:cstheme="minorHAnsi"/>
                <w:sz w:val="24"/>
                <w:szCs w:val="24"/>
              </w:rPr>
            </w:pPr>
            <w:r>
              <w:rPr>
                <w:rFonts w:cstheme="minorHAnsi"/>
                <w:sz w:val="24"/>
                <w:szCs w:val="24"/>
              </w:rPr>
              <w:t>Key challenges in the execution of Caledonia’s strategy</w:t>
            </w:r>
            <w:r w:rsidR="007A17DB">
              <w:rPr>
                <w:rFonts w:cstheme="minorHAnsi"/>
                <w:sz w:val="24"/>
                <w:szCs w:val="24"/>
              </w:rPr>
              <w:t xml:space="preserve"> include </w:t>
            </w:r>
            <w:r w:rsidR="00735AF0">
              <w:rPr>
                <w:rFonts w:cstheme="minorHAnsi"/>
                <w:sz w:val="24"/>
                <w:szCs w:val="24"/>
              </w:rPr>
              <w:t xml:space="preserve">ensuring the continued successful </w:t>
            </w:r>
            <w:r w:rsidR="00CD08F2">
              <w:rPr>
                <w:rFonts w:cstheme="minorHAnsi"/>
                <w:sz w:val="24"/>
                <w:szCs w:val="24"/>
              </w:rPr>
              <w:t>production at</w:t>
            </w:r>
            <w:r w:rsidR="00735AF0">
              <w:rPr>
                <w:rFonts w:cstheme="minorHAnsi"/>
                <w:sz w:val="24"/>
                <w:szCs w:val="24"/>
              </w:rPr>
              <w:t xml:space="preserve"> Blanket, </w:t>
            </w:r>
            <w:r w:rsidR="007A17DB">
              <w:rPr>
                <w:rFonts w:cstheme="minorHAnsi"/>
                <w:sz w:val="24"/>
                <w:szCs w:val="24"/>
              </w:rPr>
              <w:t>cost control</w:t>
            </w:r>
            <w:r w:rsidR="00735AF0">
              <w:rPr>
                <w:rFonts w:cstheme="minorHAnsi"/>
                <w:sz w:val="24"/>
                <w:szCs w:val="24"/>
              </w:rPr>
              <w:t xml:space="preserve"> throughout the business</w:t>
            </w:r>
            <w:r w:rsidR="000F4502">
              <w:rPr>
                <w:rFonts w:cstheme="minorHAnsi"/>
                <w:sz w:val="24"/>
                <w:szCs w:val="24"/>
              </w:rPr>
              <w:t xml:space="preserve">, </w:t>
            </w:r>
            <w:r w:rsidR="000C13B0">
              <w:rPr>
                <w:rFonts w:cstheme="minorHAnsi"/>
                <w:sz w:val="24"/>
                <w:szCs w:val="24"/>
              </w:rPr>
              <w:t xml:space="preserve">the supply of dependable power, continued exploration success and the financing and construction of the Bilboes project. </w:t>
            </w:r>
            <w:r w:rsidR="00BA4342">
              <w:rPr>
                <w:rFonts w:cstheme="minorHAnsi"/>
                <w:sz w:val="24"/>
                <w:szCs w:val="24"/>
              </w:rPr>
              <w:t xml:space="preserve"> These challenges are addressed throughout the business and in particular by prudent capital allocation</w:t>
            </w:r>
            <w:r w:rsidR="00B81BEF">
              <w:rPr>
                <w:rFonts w:cstheme="minorHAnsi"/>
                <w:sz w:val="24"/>
                <w:szCs w:val="24"/>
              </w:rPr>
              <w:t xml:space="preserve"> decisions</w:t>
            </w:r>
            <w:r w:rsidR="00205DE3">
              <w:rPr>
                <w:rFonts w:cstheme="minorHAnsi"/>
                <w:sz w:val="24"/>
                <w:szCs w:val="24"/>
              </w:rPr>
              <w:t xml:space="preserve">, </w:t>
            </w:r>
            <w:r w:rsidR="007F0A65">
              <w:rPr>
                <w:rFonts w:cstheme="minorHAnsi"/>
                <w:sz w:val="24"/>
                <w:szCs w:val="24"/>
              </w:rPr>
              <w:t>vigorous</w:t>
            </w:r>
            <w:r w:rsidR="00205DE3">
              <w:rPr>
                <w:rFonts w:cstheme="minorHAnsi"/>
                <w:sz w:val="24"/>
                <w:szCs w:val="24"/>
              </w:rPr>
              <w:t xml:space="preserve"> procurement policies</w:t>
            </w:r>
            <w:r w:rsidR="00DB527F">
              <w:rPr>
                <w:rFonts w:cstheme="minorHAnsi"/>
                <w:sz w:val="24"/>
                <w:szCs w:val="24"/>
              </w:rPr>
              <w:t xml:space="preserve">, </w:t>
            </w:r>
            <w:r w:rsidR="00CD7EB9">
              <w:rPr>
                <w:rFonts w:cstheme="minorHAnsi"/>
                <w:sz w:val="24"/>
                <w:szCs w:val="24"/>
              </w:rPr>
              <w:t xml:space="preserve">a robust risk management framework, </w:t>
            </w:r>
            <w:r w:rsidR="00A753F9">
              <w:rPr>
                <w:rFonts w:cstheme="minorHAnsi"/>
                <w:sz w:val="24"/>
                <w:szCs w:val="24"/>
              </w:rPr>
              <w:t>a commitment</w:t>
            </w:r>
            <w:r w:rsidR="00DB527F">
              <w:rPr>
                <w:rFonts w:cstheme="minorHAnsi"/>
                <w:sz w:val="24"/>
                <w:szCs w:val="24"/>
              </w:rPr>
              <w:t xml:space="preserve"> to health</w:t>
            </w:r>
            <w:r w:rsidR="003E1B6C">
              <w:rPr>
                <w:rFonts w:cstheme="minorHAnsi"/>
                <w:sz w:val="24"/>
                <w:szCs w:val="24"/>
              </w:rPr>
              <w:t>,</w:t>
            </w:r>
            <w:r w:rsidR="00DB527F">
              <w:rPr>
                <w:rFonts w:cstheme="minorHAnsi"/>
                <w:sz w:val="24"/>
                <w:szCs w:val="24"/>
              </w:rPr>
              <w:t xml:space="preserve"> safety and ESG</w:t>
            </w:r>
            <w:r w:rsidR="00A753F9">
              <w:rPr>
                <w:rFonts w:cstheme="minorHAnsi"/>
                <w:sz w:val="24"/>
                <w:szCs w:val="24"/>
              </w:rPr>
              <w:t xml:space="preserve">, </w:t>
            </w:r>
            <w:r w:rsidR="00205DE3">
              <w:rPr>
                <w:rFonts w:cstheme="minorHAnsi"/>
                <w:sz w:val="24"/>
                <w:szCs w:val="24"/>
              </w:rPr>
              <w:t xml:space="preserve">and </w:t>
            </w:r>
            <w:r w:rsidR="0088482F">
              <w:rPr>
                <w:rFonts w:cstheme="minorHAnsi"/>
                <w:sz w:val="24"/>
                <w:szCs w:val="24"/>
              </w:rPr>
              <w:t xml:space="preserve">targeted and thoughtful exploration programmes. </w:t>
            </w:r>
          </w:p>
        </w:tc>
      </w:tr>
      <w:tr w:rsidR="006400F1" w:rsidRPr="00E57C84" w14:paraId="0017CAE8" w14:textId="77777777" w:rsidTr="00221CE9">
        <w:tc>
          <w:tcPr>
            <w:tcW w:w="562" w:type="dxa"/>
          </w:tcPr>
          <w:p w14:paraId="63B7A4D0" w14:textId="77777777" w:rsidR="006400F1" w:rsidRPr="00E57C84" w:rsidRDefault="006400F1" w:rsidP="00D23177">
            <w:pPr>
              <w:pStyle w:val="ListParagraph"/>
              <w:numPr>
                <w:ilvl w:val="0"/>
                <w:numId w:val="1"/>
              </w:numPr>
              <w:ind w:left="306" w:hanging="284"/>
              <w:rPr>
                <w:rFonts w:cstheme="minorHAnsi"/>
                <w:color w:val="000000"/>
                <w:sz w:val="24"/>
                <w:szCs w:val="24"/>
              </w:rPr>
            </w:pPr>
          </w:p>
        </w:tc>
        <w:tc>
          <w:tcPr>
            <w:tcW w:w="2977" w:type="dxa"/>
          </w:tcPr>
          <w:p w14:paraId="173A9B5A" w14:textId="3466E1DE" w:rsidR="006400F1" w:rsidRPr="00E57C84" w:rsidRDefault="006400F1" w:rsidP="00D23177">
            <w:pPr>
              <w:rPr>
                <w:rFonts w:cstheme="minorHAnsi"/>
                <w:color w:val="000000"/>
                <w:sz w:val="24"/>
                <w:szCs w:val="24"/>
              </w:rPr>
            </w:pPr>
            <w:r w:rsidRPr="00E57C84">
              <w:rPr>
                <w:rFonts w:cstheme="minorHAnsi"/>
                <w:color w:val="000000"/>
                <w:sz w:val="24"/>
                <w:szCs w:val="24"/>
              </w:rPr>
              <w:t>Promote a corporate culture that is based on ethical values and behaviours</w:t>
            </w:r>
          </w:p>
        </w:tc>
        <w:tc>
          <w:tcPr>
            <w:tcW w:w="10490" w:type="dxa"/>
          </w:tcPr>
          <w:p w14:paraId="04D6111C" w14:textId="482B977C" w:rsidR="006400F1" w:rsidRPr="00275E1A" w:rsidRDefault="006400F1" w:rsidP="006400F1">
            <w:pPr>
              <w:rPr>
                <w:rFonts w:cstheme="minorHAnsi"/>
                <w:sz w:val="24"/>
                <w:szCs w:val="24"/>
              </w:rPr>
            </w:pPr>
            <w:r w:rsidRPr="00275E1A">
              <w:rPr>
                <w:rFonts w:cstheme="minorHAnsi"/>
                <w:sz w:val="24"/>
                <w:szCs w:val="24"/>
              </w:rPr>
              <w:t xml:space="preserve">The </w:t>
            </w:r>
            <w:r w:rsidR="00EB3957">
              <w:rPr>
                <w:rFonts w:cstheme="minorHAnsi"/>
                <w:sz w:val="24"/>
                <w:szCs w:val="24"/>
              </w:rPr>
              <w:t xml:space="preserve">Board </w:t>
            </w:r>
            <w:r>
              <w:rPr>
                <w:rFonts w:cstheme="minorHAnsi"/>
                <w:sz w:val="24"/>
                <w:szCs w:val="24"/>
              </w:rPr>
              <w:t xml:space="preserve">is responsible for reviewing and </w:t>
            </w:r>
            <w:r w:rsidR="00CC20DF">
              <w:rPr>
                <w:rFonts w:cstheme="minorHAnsi"/>
                <w:sz w:val="24"/>
                <w:szCs w:val="24"/>
              </w:rPr>
              <w:t>approving</w:t>
            </w:r>
            <w:r>
              <w:rPr>
                <w:rFonts w:cstheme="minorHAnsi"/>
                <w:sz w:val="24"/>
                <w:szCs w:val="24"/>
              </w:rPr>
              <w:t xml:space="preserve"> the </w:t>
            </w:r>
            <w:r w:rsidRPr="00275E1A">
              <w:rPr>
                <w:rFonts w:cstheme="minorHAnsi"/>
                <w:sz w:val="24"/>
                <w:szCs w:val="24"/>
              </w:rPr>
              <w:t xml:space="preserve">Company’s Code of Business Conduct, Ethics and Anti-Bribery Policy, a copy of which can be found </w:t>
            </w:r>
            <w:hyperlink r:id="rId12" w:history="1">
              <w:r w:rsidRPr="00275E1A">
                <w:rPr>
                  <w:rStyle w:val="Hyperlink"/>
                  <w:rFonts w:cstheme="minorHAnsi"/>
                  <w:sz w:val="24"/>
                  <w:szCs w:val="24"/>
                </w:rPr>
                <w:t>here</w:t>
              </w:r>
            </w:hyperlink>
            <w:r>
              <w:rPr>
                <w:rFonts w:cstheme="minorHAnsi"/>
                <w:sz w:val="24"/>
                <w:szCs w:val="24"/>
              </w:rPr>
              <w:t xml:space="preserve">.  The </w:t>
            </w:r>
            <w:r w:rsidR="0067665F">
              <w:rPr>
                <w:rFonts w:cstheme="minorHAnsi"/>
                <w:sz w:val="24"/>
                <w:szCs w:val="24"/>
              </w:rPr>
              <w:t xml:space="preserve">Code </w:t>
            </w:r>
            <w:r w:rsidRPr="00275E1A">
              <w:rPr>
                <w:rFonts w:cstheme="minorHAnsi"/>
                <w:sz w:val="24"/>
                <w:szCs w:val="24"/>
              </w:rPr>
              <w:t>sets the corporate culture and commits the Company’s group, its boards of directors and employees to the highest standards of business and ethical conduct</w:t>
            </w:r>
            <w:r w:rsidR="007B735E">
              <w:rPr>
                <w:rFonts w:cstheme="minorHAnsi"/>
                <w:sz w:val="24"/>
                <w:szCs w:val="24"/>
              </w:rPr>
              <w:t xml:space="preserve"> to ensure that </w:t>
            </w:r>
            <w:r w:rsidR="002669E4">
              <w:rPr>
                <w:rFonts w:cstheme="minorHAnsi"/>
                <w:sz w:val="24"/>
                <w:szCs w:val="24"/>
              </w:rPr>
              <w:t>the Company’s purpose, strategy and business model is supported</w:t>
            </w:r>
            <w:r w:rsidRPr="00275E1A">
              <w:rPr>
                <w:rFonts w:cstheme="minorHAnsi"/>
                <w:sz w:val="24"/>
                <w:szCs w:val="24"/>
              </w:rPr>
              <w:t xml:space="preserve">. </w:t>
            </w:r>
          </w:p>
          <w:p w14:paraId="235B0AC8" w14:textId="77777777" w:rsidR="006400F1" w:rsidRDefault="006400F1" w:rsidP="006400F1">
            <w:pPr>
              <w:rPr>
                <w:rFonts w:cstheme="minorHAnsi"/>
                <w:sz w:val="24"/>
                <w:szCs w:val="24"/>
              </w:rPr>
            </w:pPr>
          </w:p>
          <w:p w14:paraId="76B9698D" w14:textId="31ED8E26" w:rsidR="006400F1" w:rsidRDefault="006400F1" w:rsidP="006400F1">
            <w:pPr>
              <w:rPr>
                <w:rFonts w:cstheme="minorHAnsi"/>
                <w:sz w:val="24"/>
                <w:szCs w:val="24"/>
              </w:rPr>
            </w:pPr>
            <w:r w:rsidRPr="00872FB9">
              <w:rPr>
                <w:rFonts w:cstheme="minorHAnsi"/>
                <w:sz w:val="24"/>
                <w:szCs w:val="24"/>
              </w:rPr>
              <w:t xml:space="preserve">All employees, </w:t>
            </w:r>
            <w:r w:rsidR="0067665F" w:rsidRPr="00872FB9">
              <w:rPr>
                <w:rFonts w:cstheme="minorHAnsi"/>
                <w:sz w:val="24"/>
                <w:szCs w:val="24"/>
              </w:rPr>
              <w:t xml:space="preserve">Directors </w:t>
            </w:r>
            <w:r w:rsidRPr="00872FB9">
              <w:rPr>
                <w:rFonts w:cstheme="minorHAnsi"/>
                <w:sz w:val="24"/>
                <w:szCs w:val="24"/>
              </w:rPr>
              <w:t xml:space="preserve">and contractors must follow and abide by </w:t>
            </w:r>
            <w:r>
              <w:rPr>
                <w:rFonts w:cstheme="minorHAnsi"/>
                <w:sz w:val="24"/>
                <w:szCs w:val="24"/>
              </w:rPr>
              <w:t>the</w:t>
            </w:r>
            <w:r w:rsidRPr="00872FB9">
              <w:rPr>
                <w:rFonts w:cstheme="minorHAnsi"/>
                <w:sz w:val="24"/>
                <w:szCs w:val="24"/>
              </w:rPr>
              <w:t xml:space="preserve"> </w:t>
            </w:r>
            <w:r w:rsidR="0067665F" w:rsidRPr="00872FB9">
              <w:rPr>
                <w:rFonts w:cstheme="minorHAnsi"/>
                <w:sz w:val="24"/>
                <w:szCs w:val="24"/>
              </w:rPr>
              <w:t>Code</w:t>
            </w:r>
            <w:r w:rsidR="0067665F">
              <w:rPr>
                <w:rFonts w:cstheme="minorHAnsi"/>
                <w:sz w:val="24"/>
                <w:szCs w:val="24"/>
              </w:rPr>
              <w:t xml:space="preserve"> and</w:t>
            </w:r>
            <w:r>
              <w:rPr>
                <w:rFonts w:cstheme="minorHAnsi"/>
                <w:sz w:val="24"/>
                <w:szCs w:val="24"/>
              </w:rPr>
              <w:t xml:space="preserve"> must report any violations of the </w:t>
            </w:r>
            <w:r w:rsidR="0067665F">
              <w:rPr>
                <w:rFonts w:cstheme="minorHAnsi"/>
                <w:sz w:val="24"/>
                <w:szCs w:val="24"/>
              </w:rPr>
              <w:t xml:space="preserve">Code </w:t>
            </w:r>
            <w:r>
              <w:rPr>
                <w:rFonts w:cstheme="minorHAnsi"/>
                <w:sz w:val="24"/>
                <w:szCs w:val="24"/>
              </w:rPr>
              <w:t>(for instance, through the externally facilitated whistleblowing service)</w:t>
            </w:r>
            <w:r w:rsidRPr="00872FB9">
              <w:rPr>
                <w:rFonts w:cstheme="minorHAnsi"/>
                <w:sz w:val="24"/>
                <w:szCs w:val="24"/>
              </w:rPr>
              <w:t>.</w:t>
            </w:r>
            <w:r>
              <w:rPr>
                <w:rFonts w:cstheme="minorHAnsi"/>
                <w:sz w:val="24"/>
                <w:szCs w:val="24"/>
              </w:rPr>
              <w:t xml:space="preserve">  </w:t>
            </w:r>
            <w:r w:rsidRPr="00356326">
              <w:rPr>
                <w:rFonts w:cstheme="minorHAnsi"/>
                <w:sz w:val="24"/>
                <w:szCs w:val="24"/>
              </w:rPr>
              <w:t xml:space="preserve">The fundamentals </w:t>
            </w:r>
            <w:r>
              <w:rPr>
                <w:rFonts w:cstheme="minorHAnsi"/>
                <w:sz w:val="24"/>
                <w:szCs w:val="24"/>
              </w:rPr>
              <w:t xml:space="preserve">of the </w:t>
            </w:r>
            <w:r w:rsidR="0067665F">
              <w:rPr>
                <w:rFonts w:cstheme="minorHAnsi"/>
                <w:sz w:val="24"/>
                <w:szCs w:val="24"/>
              </w:rPr>
              <w:t xml:space="preserve">Code </w:t>
            </w:r>
            <w:r w:rsidRPr="00356326">
              <w:rPr>
                <w:rFonts w:cstheme="minorHAnsi"/>
                <w:sz w:val="24"/>
                <w:szCs w:val="24"/>
              </w:rPr>
              <w:t xml:space="preserve">represent the basic beliefs that the </w:t>
            </w:r>
            <w:r>
              <w:rPr>
                <w:rFonts w:cstheme="minorHAnsi"/>
                <w:sz w:val="24"/>
                <w:szCs w:val="24"/>
              </w:rPr>
              <w:t>Company</w:t>
            </w:r>
            <w:r w:rsidRPr="00356326">
              <w:rPr>
                <w:rFonts w:cstheme="minorHAnsi"/>
                <w:sz w:val="24"/>
                <w:szCs w:val="24"/>
              </w:rPr>
              <w:t xml:space="preserve"> aspires to and </w:t>
            </w:r>
            <w:r>
              <w:rPr>
                <w:rFonts w:cstheme="minorHAnsi"/>
                <w:sz w:val="24"/>
                <w:szCs w:val="24"/>
              </w:rPr>
              <w:t>are expected to be</w:t>
            </w:r>
            <w:r w:rsidRPr="00356326">
              <w:rPr>
                <w:rFonts w:cstheme="minorHAnsi"/>
                <w:sz w:val="24"/>
                <w:szCs w:val="24"/>
              </w:rPr>
              <w:t xml:space="preserve"> reflected at all times</w:t>
            </w:r>
            <w:r>
              <w:rPr>
                <w:rFonts w:cstheme="minorHAnsi"/>
                <w:sz w:val="24"/>
                <w:szCs w:val="24"/>
              </w:rPr>
              <w:t xml:space="preserve">.  The </w:t>
            </w:r>
            <w:r w:rsidR="000D4897">
              <w:rPr>
                <w:rFonts w:cstheme="minorHAnsi"/>
                <w:sz w:val="24"/>
                <w:szCs w:val="24"/>
              </w:rPr>
              <w:t>Directors</w:t>
            </w:r>
            <w:r>
              <w:rPr>
                <w:rFonts w:cstheme="minorHAnsi"/>
                <w:sz w:val="24"/>
                <w:szCs w:val="24"/>
              </w:rPr>
              <w:t xml:space="preserve">, management team and the procurement and finance teams have had specific training on the application of the </w:t>
            </w:r>
            <w:r w:rsidR="000D4897">
              <w:rPr>
                <w:rFonts w:cstheme="minorHAnsi"/>
                <w:sz w:val="24"/>
                <w:szCs w:val="24"/>
              </w:rPr>
              <w:t xml:space="preserve">Code </w:t>
            </w:r>
            <w:r>
              <w:rPr>
                <w:rFonts w:cstheme="minorHAnsi"/>
                <w:sz w:val="24"/>
                <w:szCs w:val="24"/>
              </w:rPr>
              <w:t xml:space="preserve">and all employees and contractors are expected to familiarise themselves with the </w:t>
            </w:r>
            <w:r w:rsidR="000D4897">
              <w:rPr>
                <w:rFonts w:cstheme="minorHAnsi"/>
                <w:sz w:val="24"/>
                <w:szCs w:val="24"/>
              </w:rPr>
              <w:t xml:space="preserve">Code </w:t>
            </w:r>
            <w:r>
              <w:rPr>
                <w:rFonts w:cstheme="minorHAnsi"/>
                <w:sz w:val="24"/>
                <w:szCs w:val="24"/>
              </w:rPr>
              <w:t xml:space="preserve">and acknowledge its application to them. </w:t>
            </w:r>
          </w:p>
          <w:p w14:paraId="421350B1" w14:textId="77777777" w:rsidR="006400F1" w:rsidRDefault="006400F1" w:rsidP="006400F1">
            <w:pPr>
              <w:rPr>
                <w:rFonts w:cstheme="minorHAnsi"/>
                <w:sz w:val="24"/>
                <w:szCs w:val="24"/>
              </w:rPr>
            </w:pPr>
          </w:p>
          <w:p w14:paraId="7A0B638C" w14:textId="44F45A12" w:rsidR="006400F1" w:rsidRDefault="006400F1" w:rsidP="006400F1">
            <w:pPr>
              <w:rPr>
                <w:rFonts w:cstheme="minorHAnsi"/>
                <w:sz w:val="24"/>
                <w:szCs w:val="24"/>
              </w:rPr>
            </w:pPr>
            <w:r>
              <w:rPr>
                <w:rFonts w:cstheme="minorHAnsi"/>
                <w:sz w:val="24"/>
                <w:szCs w:val="24"/>
              </w:rPr>
              <w:t xml:space="preserve">In 2023, an online interactive training facility was adopted to teach employees about various ethical values and behaviours including those set out in the </w:t>
            </w:r>
            <w:r w:rsidR="0058586E">
              <w:rPr>
                <w:rFonts w:cstheme="minorHAnsi"/>
                <w:sz w:val="24"/>
                <w:szCs w:val="24"/>
              </w:rPr>
              <w:t xml:space="preserve">Code </w:t>
            </w:r>
            <w:r>
              <w:rPr>
                <w:rFonts w:cstheme="minorHAnsi"/>
                <w:sz w:val="24"/>
                <w:szCs w:val="24"/>
              </w:rPr>
              <w:t xml:space="preserve">and every employee with access to a work computer is expected to complete the training. </w:t>
            </w:r>
          </w:p>
          <w:p w14:paraId="21F6FC7B" w14:textId="77777777" w:rsidR="006400F1" w:rsidRDefault="006400F1" w:rsidP="006400F1">
            <w:pPr>
              <w:rPr>
                <w:rFonts w:cstheme="minorHAnsi"/>
                <w:sz w:val="24"/>
                <w:szCs w:val="24"/>
              </w:rPr>
            </w:pPr>
          </w:p>
          <w:p w14:paraId="1B40AFA9" w14:textId="715F83AE" w:rsidR="006400F1" w:rsidRDefault="006400F1" w:rsidP="006400F1">
            <w:pPr>
              <w:rPr>
                <w:rFonts w:cstheme="minorHAnsi"/>
                <w:sz w:val="24"/>
                <w:szCs w:val="24"/>
              </w:rPr>
            </w:pPr>
            <w:r>
              <w:rPr>
                <w:rFonts w:cstheme="minorHAnsi"/>
                <w:sz w:val="24"/>
                <w:szCs w:val="24"/>
              </w:rPr>
              <w:t xml:space="preserve">New supplier contracts include provisions requiring observance of Caledonia’s “Supplier Charter” which includes compliance with the </w:t>
            </w:r>
            <w:r w:rsidR="0058586E">
              <w:rPr>
                <w:rFonts w:cstheme="minorHAnsi"/>
                <w:sz w:val="24"/>
                <w:szCs w:val="24"/>
              </w:rPr>
              <w:t xml:space="preserve">Code </w:t>
            </w:r>
            <w:r>
              <w:rPr>
                <w:rFonts w:cstheme="minorHAnsi"/>
                <w:sz w:val="24"/>
                <w:szCs w:val="24"/>
              </w:rPr>
              <w:t xml:space="preserve">and other policies.  A copy can be found </w:t>
            </w:r>
            <w:hyperlink r:id="rId13" w:history="1">
              <w:r w:rsidRPr="00AF09EA">
                <w:rPr>
                  <w:rStyle w:val="Hyperlink"/>
                  <w:rFonts w:cstheme="minorHAnsi"/>
                  <w:sz w:val="24"/>
                  <w:szCs w:val="24"/>
                </w:rPr>
                <w:t>here</w:t>
              </w:r>
            </w:hyperlink>
            <w:r>
              <w:rPr>
                <w:rFonts w:cstheme="minorHAnsi"/>
                <w:sz w:val="24"/>
                <w:szCs w:val="24"/>
              </w:rPr>
              <w:t>.  Contractors, consultants, customers and third parties (e.g. counterparties to acquisitions) are appropriately screened before engagement including, where appropriate, performing sanctions, adverse media and political exposure checks.</w:t>
            </w:r>
          </w:p>
          <w:p w14:paraId="653BBC0C" w14:textId="77777777" w:rsidR="006400F1" w:rsidRDefault="006400F1" w:rsidP="006400F1">
            <w:pPr>
              <w:rPr>
                <w:rFonts w:cstheme="minorHAnsi"/>
                <w:sz w:val="24"/>
                <w:szCs w:val="24"/>
              </w:rPr>
            </w:pPr>
          </w:p>
          <w:p w14:paraId="23EB79F4" w14:textId="2397D6E1" w:rsidR="006400F1" w:rsidRDefault="006400F1" w:rsidP="006400F1">
            <w:pPr>
              <w:rPr>
                <w:rFonts w:cstheme="minorHAnsi"/>
                <w:sz w:val="24"/>
                <w:szCs w:val="24"/>
              </w:rPr>
            </w:pPr>
            <w:r>
              <w:rPr>
                <w:rFonts w:cstheme="minorHAnsi"/>
                <w:sz w:val="24"/>
                <w:szCs w:val="24"/>
              </w:rPr>
              <w:t xml:space="preserve">The </w:t>
            </w:r>
            <w:r w:rsidR="00EB3957">
              <w:rPr>
                <w:rFonts w:cstheme="minorHAnsi"/>
                <w:sz w:val="24"/>
                <w:szCs w:val="24"/>
              </w:rPr>
              <w:t xml:space="preserve">Board </w:t>
            </w:r>
            <w:r w:rsidR="00060EF8">
              <w:rPr>
                <w:rFonts w:cstheme="minorHAnsi"/>
                <w:sz w:val="24"/>
                <w:szCs w:val="24"/>
              </w:rPr>
              <w:t>undertake</w:t>
            </w:r>
            <w:r w:rsidR="005A3AE0">
              <w:rPr>
                <w:rFonts w:cstheme="minorHAnsi"/>
                <w:sz w:val="24"/>
                <w:szCs w:val="24"/>
              </w:rPr>
              <w:t>s</w:t>
            </w:r>
            <w:r>
              <w:rPr>
                <w:rFonts w:cstheme="minorHAnsi"/>
                <w:sz w:val="24"/>
                <w:szCs w:val="24"/>
              </w:rPr>
              <w:t xml:space="preserve"> an annual compliance and ethics review and is alerted to any material breaches of the </w:t>
            </w:r>
            <w:r w:rsidR="007E229F">
              <w:rPr>
                <w:rFonts w:cstheme="minorHAnsi"/>
                <w:sz w:val="24"/>
                <w:szCs w:val="24"/>
              </w:rPr>
              <w:t>Code</w:t>
            </w:r>
            <w:r w:rsidR="005A3AE0">
              <w:rPr>
                <w:rFonts w:cstheme="minorHAnsi"/>
                <w:sz w:val="24"/>
                <w:szCs w:val="24"/>
              </w:rPr>
              <w:t xml:space="preserve"> so they may</w:t>
            </w:r>
            <w:r>
              <w:rPr>
                <w:rFonts w:cstheme="minorHAnsi"/>
                <w:sz w:val="24"/>
                <w:szCs w:val="24"/>
              </w:rPr>
              <w:t xml:space="preserve"> take action should there be any such breaches.    </w:t>
            </w:r>
          </w:p>
          <w:p w14:paraId="1BB2440F" w14:textId="77777777" w:rsidR="006400F1" w:rsidRDefault="006400F1" w:rsidP="006400F1">
            <w:pPr>
              <w:rPr>
                <w:rFonts w:cstheme="minorHAnsi"/>
                <w:sz w:val="24"/>
                <w:szCs w:val="24"/>
              </w:rPr>
            </w:pPr>
          </w:p>
          <w:p w14:paraId="24DB2F1D" w14:textId="0334970C" w:rsidR="00AA3A0B" w:rsidRDefault="006400F1" w:rsidP="006400F1">
            <w:pPr>
              <w:rPr>
                <w:rFonts w:cstheme="minorHAnsi"/>
                <w:sz w:val="24"/>
                <w:szCs w:val="24"/>
              </w:rPr>
            </w:pPr>
            <w:r>
              <w:rPr>
                <w:rFonts w:cstheme="minorHAnsi"/>
                <w:sz w:val="24"/>
                <w:szCs w:val="24"/>
              </w:rPr>
              <w:t xml:space="preserve">In 2024, Caledonia commissioned an employee </w:t>
            </w:r>
            <w:r w:rsidR="00C04AA9">
              <w:rPr>
                <w:rFonts w:cstheme="minorHAnsi"/>
                <w:sz w:val="24"/>
                <w:szCs w:val="24"/>
              </w:rPr>
              <w:t>engagement</w:t>
            </w:r>
            <w:r>
              <w:rPr>
                <w:rFonts w:cstheme="minorHAnsi"/>
                <w:sz w:val="24"/>
                <w:szCs w:val="24"/>
              </w:rPr>
              <w:t xml:space="preserve"> survey which highlighted </w:t>
            </w:r>
            <w:r w:rsidR="00F32FB9">
              <w:rPr>
                <w:rFonts w:cstheme="minorHAnsi"/>
                <w:sz w:val="24"/>
                <w:szCs w:val="24"/>
              </w:rPr>
              <w:t>po</w:t>
            </w:r>
            <w:r w:rsidR="00E0017C">
              <w:rPr>
                <w:rFonts w:cstheme="minorHAnsi"/>
                <w:sz w:val="24"/>
                <w:szCs w:val="24"/>
              </w:rPr>
              <w:t>tential</w:t>
            </w:r>
            <w:r>
              <w:rPr>
                <w:rFonts w:cstheme="minorHAnsi"/>
                <w:sz w:val="24"/>
                <w:szCs w:val="24"/>
              </w:rPr>
              <w:t xml:space="preserve"> areas in which the business could improve its corporate culture</w:t>
            </w:r>
            <w:r w:rsidR="009459FC">
              <w:rPr>
                <w:rFonts w:cstheme="minorHAnsi"/>
                <w:sz w:val="24"/>
                <w:szCs w:val="24"/>
              </w:rPr>
              <w:t>, and significant work is ongoing in these areas</w:t>
            </w:r>
            <w:r>
              <w:rPr>
                <w:rFonts w:cstheme="minorHAnsi"/>
                <w:sz w:val="24"/>
                <w:szCs w:val="24"/>
              </w:rPr>
              <w:t xml:space="preserve">. Since then, there have </w:t>
            </w:r>
            <w:r w:rsidR="00E11C9B">
              <w:rPr>
                <w:rFonts w:cstheme="minorHAnsi"/>
                <w:sz w:val="24"/>
                <w:szCs w:val="24"/>
              </w:rPr>
              <w:t xml:space="preserve">also </w:t>
            </w:r>
            <w:r>
              <w:rPr>
                <w:rFonts w:cstheme="minorHAnsi"/>
                <w:sz w:val="24"/>
                <w:szCs w:val="24"/>
              </w:rPr>
              <w:t>been significant changes in senior management which creates an opportunity to reset the corporate culture on the ground (i.e. setting the “tone from the top”)</w:t>
            </w:r>
            <w:r w:rsidR="00E11C9B">
              <w:rPr>
                <w:rFonts w:cstheme="minorHAnsi"/>
                <w:sz w:val="24"/>
                <w:szCs w:val="24"/>
              </w:rPr>
              <w:t>.</w:t>
            </w:r>
            <w:r w:rsidR="00AA3A0B">
              <w:rPr>
                <w:rFonts w:cstheme="minorHAnsi"/>
                <w:sz w:val="24"/>
                <w:szCs w:val="24"/>
              </w:rPr>
              <w:t xml:space="preserve"> </w:t>
            </w:r>
            <w:r w:rsidRPr="006375C5">
              <w:rPr>
                <w:rFonts w:cstheme="minorHAnsi"/>
                <w:sz w:val="24"/>
                <w:szCs w:val="24"/>
              </w:rPr>
              <w:t>Cultural change starts at the top of any organization: gender diversity</w:t>
            </w:r>
            <w:r>
              <w:rPr>
                <w:rFonts w:cstheme="minorHAnsi"/>
                <w:sz w:val="24"/>
                <w:szCs w:val="24"/>
              </w:rPr>
              <w:t xml:space="preserve"> at </w:t>
            </w:r>
            <w:r w:rsidR="00EB3957">
              <w:rPr>
                <w:rFonts w:cstheme="minorHAnsi"/>
                <w:sz w:val="24"/>
                <w:szCs w:val="24"/>
              </w:rPr>
              <w:t xml:space="preserve">Board </w:t>
            </w:r>
            <w:r>
              <w:rPr>
                <w:rFonts w:cstheme="minorHAnsi"/>
                <w:sz w:val="24"/>
                <w:szCs w:val="24"/>
              </w:rPr>
              <w:t>level</w:t>
            </w:r>
            <w:r w:rsidRPr="006375C5">
              <w:rPr>
                <w:rFonts w:cstheme="minorHAnsi"/>
                <w:sz w:val="24"/>
                <w:szCs w:val="24"/>
              </w:rPr>
              <w:t xml:space="preserve"> </w:t>
            </w:r>
            <w:r>
              <w:rPr>
                <w:rFonts w:cstheme="minorHAnsi"/>
                <w:sz w:val="24"/>
                <w:szCs w:val="24"/>
              </w:rPr>
              <w:t>has improved</w:t>
            </w:r>
            <w:r w:rsidRPr="006375C5">
              <w:rPr>
                <w:rFonts w:cstheme="minorHAnsi"/>
                <w:sz w:val="24"/>
                <w:szCs w:val="24"/>
              </w:rPr>
              <w:t xml:space="preserve"> </w:t>
            </w:r>
            <w:r>
              <w:rPr>
                <w:rFonts w:cstheme="minorHAnsi"/>
                <w:sz w:val="24"/>
                <w:szCs w:val="24"/>
              </w:rPr>
              <w:t xml:space="preserve">markedly </w:t>
            </w:r>
            <w:r w:rsidR="00B65C6A">
              <w:rPr>
                <w:rFonts w:cstheme="minorHAnsi"/>
                <w:sz w:val="24"/>
                <w:szCs w:val="24"/>
              </w:rPr>
              <w:t>(3</w:t>
            </w:r>
            <w:r w:rsidR="000E4C22">
              <w:rPr>
                <w:rFonts w:cstheme="minorHAnsi"/>
                <w:sz w:val="24"/>
                <w:szCs w:val="24"/>
              </w:rPr>
              <w:t>0</w:t>
            </w:r>
            <w:r w:rsidR="00B65C6A">
              <w:rPr>
                <w:rFonts w:cstheme="minorHAnsi"/>
                <w:sz w:val="24"/>
                <w:szCs w:val="24"/>
              </w:rPr>
              <w:t>%</w:t>
            </w:r>
            <w:r w:rsidR="004F3009">
              <w:rPr>
                <w:rFonts w:cstheme="minorHAnsi"/>
                <w:sz w:val="24"/>
                <w:szCs w:val="24"/>
              </w:rPr>
              <w:t xml:space="preserve"> </w:t>
            </w:r>
            <w:r w:rsidR="00C46B00">
              <w:rPr>
                <w:rFonts w:cstheme="minorHAnsi"/>
                <w:sz w:val="24"/>
                <w:szCs w:val="24"/>
              </w:rPr>
              <w:t>female representation</w:t>
            </w:r>
            <w:r w:rsidR="00B65C6A">
              <w:rPr>
                <w:rFonts w:cstheme="minorHAnsi"/>
                <w:sz w:val="24"/>
                <w:szCs w:val="24"/>
              </w:rPr>
              <w:t xml:space="preserve">) </w:t>
            </w:r>
            <w:r w:rsidRPr="006375C5">
              <w:rPr>
                <w:rFonts w:cstheme="minorHAnsi"/>
                <w:sz w:val="24"/>
                <w:szCs w:val="24"/>
              </w:rPr>
              <w:t xml:space="preserve">and the representation of Zimbabwean non-executive directors </w:t>
            </w:r>
            <w:r>
              <w:rPr>
                <w:rFonts w:cstheme="minorHAnsi"/>
                <w:sz w:val="24"/>
                <w:szCs w:val="24"/>
              </w:rPr>
              <w:t xml:space="preserve">has </w:t>
            </w:r>
            <w:r w:rsidRPr="006375C5">
              <w:rPr>
                <w:rFonts w:cstheme="minorHAnsi"/>
                <w:sz w:val="24"/>
                <w:szCs w:val="24"/>
              </w:rPr>
              <w:t>increased</w:t>
            </w:r>
            <w:r w:rsidR="00B65C6A">
              <w:rPr>
                <w:rFonts w:cstheme="minorHAnsi"/>
                <w:sz w:val="24"/>
                <w:szCs w:val="24"/>
              </w:rPr>
              <w:t xml:space="preserve"> (</w:t>
            </w:r>
            <w:r w:rsidR="00A3340A">
              <w:rPr>
                <w:rFonts w:cstheme="minorHAnsi"/>
                <w:sz w:val="24"/>
                <w:szCs w:val="24"/>
              </w:rPr>
              <w:t>40%)</w:t>
            </w:r>
            <w:r w:rsidRPr="006375C5">
              <w:rPr>
                <w:rFonts w:cstheme="minorHAnsi"/>
                <w:sz w:val="24"/>
                <w:szCs w:val="24"/>
              </w:rPr>
              <w:t xml:space="preserve">. </w:t>
            </w:r>
          </w:p>
          <w:p w14:paraId="4E32C0D6" w14:textId="77777777" w:rsidR="00AA3A0B" w:rsidRDefault="00AA3A0B" w:rsidP="006400F1">
            <w:pPr>
              <w:rPr>
                <w:rFonts w:cstheme="minorHAnsi"/>
                <w:sz w:val="24"/>
                <w:szCs w:val="24"/>
              </w:rPr>
            </w:pPr>
          </w:p>
          <w:p w14:paraId="19C00502" w14:textId="07AB3591" w:rsidR="006400F1" w:rsidRDefault="006400F1" w:rsidP="006400F1">
            <w:pPr>
              <w:rPr>
                <w:rFonts w:cstheme="minorHAnsi"/>
                <w:sz w:val="24"/>
                <w:szCs w:val="24"/>
              </w:rPr>
            </w:pPr>
            <w:r w:rsidRPr="006375C5">
              <w:rPr>
                <w:rFonts w:cstheme="minorHAnsi"/>
                <w:sz w:val="24"/>
                <w:szCs w:val="24"/>
              </w:rPr>
              <w:t xml:space="preserve">The senior leadership at Caledonia participated in a series of workshops from December 2024 to February 2025 to identify the target values as appropriate for Caledonia’s desired culture and to map the </w:t>
            </w:r>
            <w:r w:rsidRPr="006375C5">
              <w:rPr>
                <w:rFonts w:cstheme="minorHAnsi"/>
                <w:sz w:val="24"/>
                <w:szCs w:val="24"/>
              </w:rPr>
              <w:lastRenderedPageBreak/>
              <w:t xml:space="preserve">way forward on how to build the internal climate and the implementation of this culture development plan. </w:t>
            </w:r>
          </w:p>
          <w:p w14:paraId="768CED26" w14:textId="77777777" w:rsidR="006400F1" w:rsidRPr="006375C5" w:rsidRDefault="006400F1" w:rsidP="006400F1">
            <w:pPr>
              <w:rPr>
                <w:rFonts w:cstheme="minorHAnsi"/>
                <w:sz w:val="24"/>
                <w:szCs w:val="24"/>
              </w:rPr>
            </w:pPr>
          </w:p>
          <w:p w14:paraId="3E6692BA" w14:textId="1C75F860" w:rsidR="006400F1" w:rsidRPr="00275E1A" w:rsidRDefault="00AA3A0B" w:rsidP="00566203">
            <w:pPr>
              <w:rPr>
                <w:rFonts w:cstheme="minorHAnsi"/>
                <w:sz w:val="24"/>
                <w:szCs w:val="24"/>
              </w:rPr>
            </w:pPr>
            <w:r>
              <w:rPr>
                <w:rFonts w:cstheme="minorHAnsi"/>
                <w:sz w:val="24"/>
                <w:szCs w:val="24"/>
              </w:rPr>
              <w:t>M</w:t>
            </w:r>
            <w:r w:rsidR="006400F1" w:rsidRPr="006375C5">
              <w:rPr>
                <w:rFonts w:cstheme="minorHAnsi"/>
                <w:sz w:val="24"/>
                <w:szCs w:val="24"/>
              </w:rPr>
              <w:t xml:space="preserve">anagers from all </w:t>
            </w:r>
            <w:r w:rsidR="006400F1">
              <w:rPr>
                <w:rFonts w:cstheme="minorHAnsi"/>
                <w:sz w:val="24"/>
                <w:szCs w:val="24"/>
              </w:rPr>
              <w:t>of the group’s</w:t>
            </w:r>
            <w:r w:rsidR="006400F1" w:rsidRPr="006375C5">
              <w:rPr>
                <w:rFonts w:cstheme="minorHAnsi"/>
                <w:sz w:val="24"/>
                <w:szCs w:val="24"/>
              </w:rPr>
              <w:t xml:space="preserve"> sites </w:t>
            </w:r>
            <w:r w:rsidR="00B22958">
              <w:rPr>
                <w:rFonts w:cstheme="minorHAnsi"/>
                <w:sz w:val="24"/>
                <w:szCs w:val="24"/>
              </w:rPr>
              <w:t xml:space="preserve">then </w:t>
            </w:r>
            <w:r w:rsidR="006400F1" w:rsidRPr="006375C5">
              <w:rPr>
                <w:rFonts w:cstheme="minorHAnsi"/>
                <w:sz w:val="24"/>
                <w:szCs w:val="24"/>
              </w:rPr>
              <w:t>participated in a managers</w:t>
            </w:r>
            <w:r w:rsidR="006400F1">
              <w:rPr>
                <w:rFonts w:cstheme="minorHAnsi"/>
                <w:sz w:val="24"/>
                <w:szCs w:val="24"/>
              </w:rPr>
              <w:t>’</w:t>
            </w:r>
            <w:r w:rsidR="006400F1" w:rsidRPr="006375C5">
              <w:rPr>
                <w:rFonts w:cstheme="minorHAnsi"/>
                <w:sz w:val="24"/>
                <w:szCs w:val="24"/>
              </w:rPr>
              <w:t xml:space="preserve"> conference </w:t>
            </w:r>
            <w:r w:rsidR="006400F1">
              <w:rPr>
                <w:rFonts w:cstheme="minorHAnsi"/>
                <w:sz w:val="24"/>
                <w:szCs w:val="24"/>
              </w:rPr>
              <w:t>in July 2025</w:t>
            </w:r>
            <w:r w:rsidR="006400F1" w:rsidRPr="006375C5">
              <w:rPr>
                <w:rFonts w:cstheme="minorHAnsi"/>
                <w:sz w:val="24"/>
                <w:szCs w:val="24"/>
              </w:rPr>
              <w:t xml:space="preserve">. The outcome was the </w:t>
            </w:r>
            <w:r w:rsidR="006400F1">
              <w:rPr>
                <w:rFonts w:cstheme="minorHAnsi"/>
                <w:sz w:val="24"/>
                <w:szCs w:val="24"/>
              </w:rPr>
              <w:t xml:space="preserve">recognition of </w:t>
            </w:r>
            <w:r w:rsidR="006400F1" w:rsidRPr="006375C5">
              <w:rPr>
                <w:rFonts w:cstheme="minorHAnsi"/>
                <w:sz w:val="24"/>
                <w:szCs w:val="24"/>
              </w:rPr>
              <w:t xml:space="preserve">key themes and insights including the behaviours </w:t>
            </w:r>
            <w:r w:rsidR="006400F1">
              <w:rPr>
                <w:rFonts w:cstheme="minorHAnsi"/>
                <w:sz w:val="24"/>
                <w:szCs w:val="24"/>
              </w:rPr>
              <w:t>management believes</w:t>
            </w:r>
            <w:r w:rsidR="006400F1" w:rsidRPr="006375C5">
              <w:rPr>
                <w:rFonts w:cstheme="minorHAnsi"/>
                <w:sz w:val="24"/>
                <w:szCs w:val="24"/>
              </w:rPr>
              <w:t xml:space="preserve"> will best support </w:t>
            </w:r>
            <w:r w:rsidR="006400F1">
              <w:rPr>
                <w:rFonts w:cstheme="minorHAnsi"/>
                <w:sz w:val="24"/>
                <w:szCs w:val="24"/>
              </w:rPr>
              <w:t>the</w:t>
            </w:r>
            <w:r w:rsidR="006400F1" w:rsidRPr="006375C5">
              <w:rPr>
                <w:rFonts w:cstheme="minorHAnsi"/>
                <w:sz w:val="24"/>
                <w:szCs w:val="24"/>
              </w:rPr>
              <w:t xml:space="preserve"> culture going forward, and the practical steps </w:t>
            </w:r>
            <w:r w:rsidR="006400F1">
              <w:rPr>
                <w:rFonts w:cstheme="minorHAnsi"/>
                <w:sz w:val="24"/>
                <w:szCs w:val="24"/>
              </w:rPr>
              <w:t>management</w:t>
            </w:r>
            <w:r w:rsidR="006400F1" w:rsidRPr="006375C5">
              <w:rPr>
                <w:rFonts w:cstheme="minorHAnsi"/>
                <w:sz w:val="24"/>
                <w:szCs w:val="24"/>
              </w:rPr>
              <w:t xml:space="preserve"> can take to embed these more intentionally in day-to-day leadership. </w:t>
            </w:r>
            <w:r w:rsidR="00423489" w:rsidRPr="00423489">
              <w:rPr>
                <w:rFonts w:cstheme="minorHAnsi"/>
                <w:sz w:val="24"/>
                <w:szCs w:val="24"/>
              </w:rPr>
              <w:t xml:space="preserve">As a result of this extended exercise, values that </w:t>
            </w:r>
            <w:r w:rsidR="00C266A0">
              <w:rPr>
                <w:rFonts w:cstheme="minorHAnsi"/>
                <w:sz w:val="24"/>
                <w:szCs w:val="24"/>
              </w:rPr>
              <w:t>are intended</w:t>
            </w:r>
            <w:r w:rsidR="00423489" w:rsidRPr="00423489">
              <w:rPr>
                <w:rFonts w:cstheme="minorHAnsi"/>
                <w:sz w:val="24"/>
                <w:szCs w:val="24"/>
              </w:rPr>
              <w:t xml:space="preserve"> to </w:t>
            </w:r>
            <w:r w:rsidR="00C266A0">
              <w:rPr>
                <w:rFonts w:cstheme="minorHAnsi"/>
                <w:sz w:val="24"/>
                <w:szCs w:val="24"/>
              </w:rPr>
              <w:t xml:space="preserve">be </w:t>
            </w:r>
            <w:r w:rsidR="00423489" w:rsidRPr="00423489">
              <w:rPr>
                <w:rFonts w:cstheme="minorHAnsi"/>
                <w:sz w:val="24"/>
                <w:szCs w:val="24"/>
              </w:rPr>
              <w:t>entrench</w:t>
            </w:r>
            <w:r w:rsidR="00C266A0">
              <w:rPr>
                <w:rFonts w:cstheme="minorHAnsi"/>
                <w:sz w:val="24"/>
                <w:szCs w:val="24"/>
              </w:rPr>
              <w:t>ed</w:t>
            </w:r>
            <w:r w:rsidR="00423489" w:rsidRPr="00423489">
              <w:rPr>
                <w:rFonts w:cstheme="minorHAnsi"/>
                <w:sz w:val="24"/>
                <w:szCs w:val="24"/>
              </w:rPr>
              <w:t xml:space="preserve"> throughout the group </w:t>
            </w:r>
            <w:r w:rsidR="00171BDB">
              <w:rPr>
                <w:rFonts w:cstheme="minorHAnsi"/>
                <w:sz w:val="24"/>
                <w:szCs w:val="24"/>
              </w:rPr>
              <w:t xml:space="preserve">were </w:t>
            </w:r>
            <w:r w:rsidR="00470385">
              <w:rPr>
                <w:rFonts w:cstheme="minorHAnsi"/>
                <w:sz w:val="24"/>
                <w:szCs w:val="24"/>
              </w:rPr>
              <w:t xml:space="preserve">identified </w:t>
            </w:r>
            <w:r w:rsidR="00566203">
              <w:rPr>
                <w:rFonts w:cstheme="minorHAnsi"/>
                <w:sz w:val="24"/>
                <w:szCs w:val="24"/>
              </w:rPr>
              <w:t xml:space="preserve">to </w:t>
            </w:r>
            <w:r w:rsidR="006400F1">
              <w:rPr>
                <w:rFonts w:cstheme="minorHAnsi"/>
                <w:sz w:val="24"/>
                <w:szCs w:val="24"/>
              </w:rPr>
              <w:t>shape the desired corporate culture going forwards</w:t>
            </w:r>
            <w:r w:rsidR="00566203">
              <w:rPr>
                <w:rFonts w:cstheme="minorHAnsi"/>
                <w:sz w:val="24"/>
                <w:szCs w:val="24"/>
              </w:rPr>
              <w:t>. T</w:t>
            </w:r>
            <w:r w:rsidR="006400F1">
              <w:rPr>
                <w:rFonts w:cstheme="minorHAnsi"/>
                <w:sz w:val="24"/>
                <w:szCs w:val="24"/>
              </w:rPr>
              <w:t xml:space="preserve">he Human Resources Department is </w:t>
            </w:r>
            <w:r w:rsidR="00CA0DE6">
              <w:rPr>
                <w:rFonts w:cstheme="minorHAnsi"/>
                <w:sz w:val="24"/>
                <w:szCs w:val="24"/>
              </w:rPr>
              <w:t xml:space="preserve">tasked with </w:t>
            </w:r>
            <w:r w:rsidR="006400F1">
              <w:rPr>
                <w:rFonts w:cstheme="minorHAnsi"/>
                <w:sz w:val="24"/>
                <w:szCs w:val="24"/>
              </w:rPr>
              <w:t xml:space="preserve">organising </w:t>
            </w:r>
            <w:r w:rsidR="006400F1" w:rsidRPr="00D77170">
              <w:rPr>
                <w:rFonts w:cstheme="minorHAnsi"/>
                <w:sz w:val="24"/>
                <w:szCs w:val="24"/>
              </w:rPr>
              <w:t>various sessions, focus group discussions, online surveys and training sessions</w:t>
            </w:r>
            <w:r w:rsidR="006400F1">
              <w:rPr>
                <w:rFonts w:cstheme="minorHAnsi"/>
                <w:sz w:val="24"/>
                <w:szCs w:val="24"/>
              </w:rPr>
              <w:t xml:space="preserve"> in order to provide </w:t>
            </w:r>
            <w:r w:rsidR="00706B87">
              <w:rPr>
                <w:rFonts w:cstheme="minorHAnsi"/>
                <w:sz w:val="24"/>
                <w:szCs w:val="24"/>
              </w:rPr>
              <w:t xml:space="preserve">the required </w:t>
            </w:r>
            <w:r w:rsidR="006400F1">
              <w:rPr>
                <w:rFonts w:cstheme="minorHAnsi"/>
                <w:sz w:val="24"/>
                <w:szCs w:val="24"/>
              </w:rPr>
              <w:t>support</w:t>
            </w:r>
            <w:r w:rsidR="00706B87">
              <w:rPr>
                <w:rFonts w:cstheme="minorHAnsi"/>
                <w:sz w:val="24"/>
                <w:szCs w:val="24"/>
              </w:rPr>
              <w:t xml:space="preserve"> for this culture change project</w:t>
            </w:r>
            <w:r w:rsidR="006400F1">
              <w:rPr>
                <w:rFonts w:cstheme="minorHAnsi"/>
                <w:sz w:val="24"/>
                <w:szCs w:val="24"/>
              </w:rPr>
              <w:t>.</w:t>
            </w:r>
          </w:p>
        </w:tc>
      </w:tr>
      <w:tr w:rsidR="00D23177" w:rsidRPr="00E57C84" w14:paraId="33A04790" w14:textId="77777777" w:rsidTr="00221CE9">
        <w:tc>
          <w:tcPr>
            <w:tcW w:w="562" w:type="dxa"/>
          </w:tcPr>
          <w:p w14:paraId="578A6973" w14:textId="77777777" w:rsidR="00D23177" w:rsidRPr="00E57C84" w:rsidRDefault="00D23177" w:rsidP="00D23177">
            <w:pPr>
              <w:pStyle w:val="ListParagraph"/>
              <w:numPr>
                <w:ilvl w:val="0"/>
                <w:numId w:val="1"/>
              </w:numPr>
              <w:ind w:left="306" w:hanging="284"/>
              <w:rPr>
                <w:rFonts w:cstheme="minorHAnsi"/>
                <w:color w:val="000000"/>
                <w:sz w:val="24"/>
                <w:szCs w:val="24"/>
              </w:rPr>
            </w:pPr>
          </w:p>
        </w:tc>
        <w:tc>
          <w:tcPr>
            <w:tcW w:w="2977" w:type="dxa"/>
          </w:tcPr>
          <w:p w14:paraId="46C57658" w14:textId="3B5B30AB" w:rsidR="00D23177" w:rsidRPr="00E57C84" w:rsidRDefault="00D23177" w:rsidP="00D23177">
            <w:pPr>
              <w:rPr>
                <w:rFonts w:cstheme="minorHAnsi"/>
                <w:sz w:val="24"/>
                <w:szCs w:val="24"/>
              </w:rPr>
            </w:pPr>
            <w:r w:rsidRPr="00E57C84">
              <w:rPr>
                <w:rFonts w:cstheme="minorHAnsi"/>
                <w:color w:val="000000"/>
                <w:sz w:val="24"/>
                <w:szCs w:val="24"/>
              </w:rPr>
              <w:t>Seek to understand and meet shareholder needs and expectations</w:t>
            </w:r>
          </w:p>
        </w:tc>
        <w:tc>
          <w:tcPr>
            <w:tcW w:w="10490" w:type="dxa"/>
          </w:tcPr>
          <w:p w14:paraId="146CE1D5" w14:textId="26ECCEDD" w:rsidR="00257DA3" w:rsidRPr="00E57C84" w:rsidRDefault="00D23177" w:rsidP="00D23177">
            <w:pPr>
              <w:rPr>
                <w:rFonts w:cstheme="minorHAnsi"/>
                <w:sz w:val="24"/>
                <w:szCs w:val="24"/>
              </w:rPr>
            </w:pPr>
            <w:r w:rsidRPr="00E57C84">
              <w:rPr>
                <w:rFonts w:cstheme="minorHAnsi"/>
                <w:sz w:val="24"/>
                <w:szCs w:val="24"/>
              </w:rPr>
              <w:t xml:space="preserve">The Company engages with shareholders on a regular basis to understand and meet their needs and expectations.   </w:t>
            </w:r>
          </w:p>
          <w:p w14:paraId="5A429653" w14:textId="4EFC13C6" w:rsidR="00D23177" w:rsidRPr="00E57C84" w:rsidRDefault="00D23177" w:rsidP="00D23177">
            <w:pPr>
              <w:rPr>
                <w:rFonts w:cstheme="minorHAnsi"/>
                <w:sz w:val="24"/>
                <w:szCs w:val="24"/>
              </w:rPr>
            </w:pPr>
            <w:r w:rsidRPr="00E57C84">
              <w:rPr>
                <w:rFonts w:cstheme="minorHAnsi"/>
                <w:sz w:val="24"/>
                <w:szCs w:val="24"/>
              </w:rPr>
              <w:t xml:space="preserve"> </w:t>
            </w:r>
          </w:p>
          <w:p w14:paraId="478DC8D1" w14:textId="3E4009A7" w:rsidR="00D23177" w:rsidRPr="00E51963" w:rsidRDefault="00D23177" w:rsidP="00D23177">
            <w:pPr>
              <w:rPr>
                <w:rFonts w:cstheme="minorHAnsi"/>
                <w:sz w:val="24"/>
                <w:szCs w:val="24"/>
              </w:rPr>
            </w:pPr>
            <w:r w:rsidRPr="00E51963">
              <w:rPr>
                <w:rFonts w:cstheme="minorHAnsi"/>
                <w:sz w:val="24"/>
                <w:szCs w:val="24"/>
              </w:rPr>
              <w:t xml:space="preserve">Communication to shareholders is predominantly through annual and </w:t>
            </w:r>
            <w:r w:rsidR="00570AD7">
              <w:rPr>
                <w:rFonts w:cstheme="minorHAnsi"/>
                <w:sz w:val="24"/>
                <w:szCs w:val="24"/>
              </w:rPr>
              <w:t>semi-annual</w:t>
            </w:r>
            <w:r w:rsidRPr="00E51963">
              <w:rPr>
                <w:rFonts w:cstheme="minorHAnsi"/>
                <w:sz w:val="24"/>
                <w:szCs w:val="24"/>
              </w:rPr>
              <w:t xml:space="preserve"> financial results and accompanying management discussion and analysis, RNS announcements, regulatory filings (including </w:t>
            </w:r>
            <w:r w:rsidR="000A3BD4" w:rsidRPr="00E51963">
              <w:rPr>
                <w:rFonts w:cstheme="minorHAnsi"/>
                <w:sz w:val="24"/>
                <w:szCs w:val="24"/>
              </w:rPr>
              <w:t xml:space="preserve">Annual Reports </w:t>
            </w:r>
            <w:r w:rsidRPr="00E51963">
              <w:rPr>
                <w:rFonts w:cstheme="minorHAnsi"/>
                <w:sz w:val="24"/>
                <w:szCs w:val="24"/>
              </w:rPr>
              <w:t>on Form 20-F</w:t>
            </w:r>
            <w:r w:rsidR="0094423E" w:rsidRPr="00E51963">
              <w:rPr>
                <w:rFonts w:cstheme="minorHAnsi"/>
                <w:sz w:val="24"/>
                <w:szCs w:val="24"/>
              </w:rPr>
              <w:t xml:space="preserve"> and extractive industry </w:t>
            </w:r>
            <w:r w:rsidR="00B95396" w:rsidRPr="00E51963">
              <w:rPr>
                <w:rFonts w:cstheme="minorHAnsi"/>
                <w:sz w:val="24"/>
                <w:szCs w:val="24"/>
              </w:rPr>
              <w:t xml:space="preserve">payment </w:t>
            </w:r>
            <w:r w:rsidR="0094423E" w:rsidRPr="00E51963">
              <w:rPr>
                <w:rFonts w:cstheme="minorHAnsi"/>
                <w:sz w:val="24"/>
                <w:szCs w:val="24"/>
              </w:rPr>
              <w:t>reports</w:t>
            </w:r>
            <w:r w:rsidRPr="00E51963">
              <w:rPr>
                <w:rFonts w:cstheme="minorHAnsi"/>
                <w:sz w:val="24"/>
                <w:szCs w:val="24"/>
              </w:rPr>
              <w:t xml:space="preserve">), website content (www.caledoniamining.com), corporate presentations, video interviews, national and international media (including social media).  During </w:t>
            </w:r>
            <w:r w:rsidR="00E93800" w:rsidRPr="00E51963">
              <w:rPr>
                <w:rFonts w:cstheme="minorHAnsi"/>
                <w:sz w:val="24"/>
                <w:szCs w:val="24"/>
              </w:rPr>
              <w:t>2025</w:t>
            </w:r>
            <w:r w:rsidRPr="00E51963">
              <w:rPr>
                <w:rFonts w:cstheme="minorHAnsi"/>
                <w:sz w:val="24"/>
                <w:szCs w:val="24"/>
              </w:rPr>
              <w:t xml:space="preserve">, Caledonia prepared and released its </w:t>
            </w:r>
            <w:r w:rsidR="00E93800" w:rsidRPr="00E51963">
              <w:rPr>
                <w:rFonts w:cstheme="minorHAnsi"/>
                <w:sz w:val="24"/>
                <w:szCs w:val="24"/>
              </w:rPr>
              <w:t xml:space="preserve">fifth </w:t>
            </w:r>
            <w:r w:rsidRPr="00E51963">
              <w:rPr>
                <w:rFonts w:cstheme="minorHAnsi"/>
                <w:sz w:val="24"/>
                <w:szCs w:val="24"/>
              </w:rPr>
              <w:t xml:space="preserve">annual ESG Report, which can be found </w:t>
            </w:r>
            <w:hyperlink r:id="rId14" w:history="1">
              <w:r w:rsidRPr="00E51963">
                <w:rPr>
                  <w:rStyle w:val="Hyperlink"/>
                  <w:rFonts w:cstheme="minorHAnsi"/>
                  <w:sz w:val="24"/>
                  <w:szCs w:val="24"/>
                </w:rPr>
                <w:t>here</w:t>
              </w:r>
            </w:hyperlink>
            <w:r w:rsidR="00371219" w:rsidRPr="00E51963">
              <w:rPr>
                <w:sz w:val="24"/>
                <w:szCs w:val="24"/>
              </w:rPr>
              <w:t xml:space="preserve">, that </w:t>
            </w:r>
            <w:r w:rsidR="00800272" w:rsidRPr="00E51963">
              <w:rPr>
                <w:sz w:val="24"/>
                <w:szCs w:val="24"/>
              </w:rPr>
              <w:t xml:space="preserve">provides </w:t>
            </w:r>
            <w:r w:rsidR="00E51963" w:rsidRPr="00E51963">
              <w:rPr>
                <w:sz w:val="24"/>
                <w:szCs w:val="24"/>
              </w:rPr>
              <w:t>appropriate quantitative and qualitative reporting of environmental and social matters to meet investor needs and expectations</w:t>
            </w:r>
            <w:r w:rsidRPr="00E51963">
              <w:rPr>
                <w:rFonts w:cstheme="minorHAnsi"/>
                <w:sz w:val="24"/>
                <w:szCs w:val="24"/>
              </w:rPr>
              <w:t>.</w:t>
            </w:r>
          </w:p>
          <w:p w14:paraId="668998C5" w14:textId="1B88E4E3" w:rsidR="00D23177" w:rsidRPr="00E57C84" w:rsidRDefault="00D23177" w:rsidP="00D23177">
            <w:pPr>
              <w:rPr>
                <w:rFonts w:cstheme="minorHAnsi"/>
                <w:sz w:val="24"/>
                <w:szCs w:val="24"/>
              </w:rPr>
            </w:pPr>
          </w:p>
          <w:p w14:paraId="45EEDF05" w14:textId="7D5ED788" w:rsidR="00D23177" w:rsidRPr="00E57C84" w:rsidRDefault="00D23177" w:rsidP="00D23177">
            <w:pPr>
              <w:rPr>
                <w:rFonts w:cstheme="minorHAnsi"/>
                <w:sz w:val="24"/>
                <w:szCs w:val="24"/>
              </w:rPr>
            </w:pPr>
            <w:r w:rsidRPr="00E57C84">
              <w:rPr>
                <w:rFonts w:cstheme="minorHAnsi"/>
                <w:sz w:val="24"/>
                <w:szCs w:val="24"/>
              </w:rPr>
              <w:t xml:space="preserve">Shareholders are invited to </w:t>
            </w:r>
            <w:r>
              <w:rPr>
                <w:rFonts w:cstheme="minorHAnsi"/>
                <w:sz w:val="24"/>
                <w:szCs w:val="24"/>
              </w:rPr>
              <w:t xml:space="preserve">participate in </w:t>
            </w:r>
            <w:r w:rsidRPr="00E57C84">
              <w:rPr>
                <w:rFonts w:cstheme="minorHAnsi"/>
                <w:sz w:val="24"/>
                <w:szCs w:val="24"/>
              </w:rPr>
              <w:t>annual general meeting</w:t>
            </w:r>
            <w:r>
              <w:rPr>
                <w:rFonts w:cstheme="minorHAnsi"/>
                <w:sz w:val="24"/>
                <w:szCs w:val="24"/>
              </w:rPr>
              <w:t>s,</w:t>
            </w:r>
            <w:r w:rsidRPr="00E57C84">
              <w:rPr>
                <w:rFonts w:cstheme="minorHAnsi"/>
                <w:sz w:val="24"/>
                <w:szCs w:val="24"/>
              </w:rPr>
              <w:t xml:space="preserve"> </w:t>
            </w:r>
            <w:r>
              <w:rPr>
                <w:rFonts w:cstheme="minorHAnsi"/>
                <w:sz w:val="24"/>
                <w:szCs w:val="24"/>
              </w:rPr>
              <w:t xml:space="preserve">which are convened by notice and an accompanying management information circular (which can be found </w:t>
            </w:r>
            <w:hyperlink r:id="rId15" w:anchor="shareholder-meeting-documents" w:history="1">
              <w:r w:rsidRPr="00062CE2">
                <w:rPr>
                  <w:rStyle w:val="Hyperlink"/>
                  <w:rFonts w:cstheme="minorHAnsi"/>
                  <w:sz w:val="24"/>
                  <w:szCs w:val="24"/>
                </w:rPr>
                <w:t>here</w:t>
              </w:r>
            </w:hyperlink>
            <w:r>
              <w:rPr>
                <w:rFonts w:cstheme="minorHAnsi"/>
                <w:sz w:val="24"/>
                <w:szCs w:val="24"/>
              </w:rPr>
              <w:t xml:space="preserve">), </w:t>
            </w:r>
            <w:r w:rsidRPr="00E57C84">
              <w:rPr>
                <w:rFonts w:cstheme="minorHAnsi"/>
                <w:sz w:val="24"/>
                <w:szCs w:val="24"/>
              </w:rPr>
              <w:t xml:space="preserve">and </w:t>
            </w:r>
            <w:r>
              <w:rPr>
                <w:rFonts w:cstheme="minorHAnsi"/>
                <w:sz w:val="24"/>
                <w:szCs w:val="24"/>
              </w:rPr>
              <w:t xml:space="preserve">investors </w:t>
            </w:r>
            <w:r w:rsidRPr="00E57C84">
              <w:rPr>
                <w:rFonts w:cstheme="minorHAnsi"/>
                <w:sz w:val="24"/>
                <w:szCs w:val="24"/>
              </w:rPr>
              <w:t xml:space="preserve">are invited to attend conference calls on a </w:t>
            </w:r>
            <w:r>
              <w:rPr>
                <w:rFonts w:cstheme="minorHAnsi"/>
                <w:sz w:val="24"/>
                <w:szCs w:val="24"/>
              </w:rPr>
              <w:t>half yearly</w:t>
            </w:r>
            <w:r w:rsidRPr="00E57C84">
              <w:rPr>
                <w:rFonts w:cstheme="minorHAnsi"/>
                <w:sz w:val="24"/>
                <w:szCs w:val="24"/>
              </w:rPr>
              <w:t xml:space="preserve"> basis to receive presentations and ask questions on financial results</w:t>
            </w:r>
            <w:r>
              <w:rPr>
                <w:rFonts w:cstheme="minorHAnsi"/>
                <w:sz w:val="24"/>
                <w:szCs w:val="24"/>
              </w:rPr>
              <w:t xml:space="preserve"> and the state and progress of the business</w:t>
            </w:r>
            <w:r w:rsidRPr="00E57C84">
              <w:rPr>
                <w:rFonts w:cstheme="minorHAnsi"/>
                <w:sz w:val="24"/>
                <w:szCs w:val="24"/>
              </w:rPr>
              <w:t>.</w:t>
            </w:r>
          </w:p>
          <w:p w14:paraId="5560D01E" w14:textId="3A7F6DA0" w:rsidR="00D23177" w:rsidRPr="00E57C84" w:rsidRDefault="00D23177" w:rsidP="00D23177">
            <w:pPr>
              <w:rPr>
                <w:rFonts w:cstheme="minorHAnsi"/>
                <w:sz w:val="24"/>
                <w:szCs w:val="24"/>
              </w:rPr>
            </w:pPr>
          </w:p>
          <w:p w14:paraId="36390AE9" w14:textId="444595C4" w:rsidR="00D23177" w:rsidRPr="00E57C84" w:rsidRDefault="00D23177" w:rsidP="00D23177">
            <w:pPr>
              <w:rPr>
                <w:rFonts w:cstheme="minorHAnsi"/>
                <w:sz w:val="24"/>
                <w:szCs w:val="24"/>
              </w:rPr>
            </w:pPr>
            <w:r w:rsidRPr="00E76E1D">
              <w:rPr>
                <w:rFonts w:cstheme="minorHAnsi"/>
                <w:sz w:val="24"/>
                <w:szCs w:val="24"/>
              </w:rPr>
              <w:t>Management attends various shareholder and analyst industry events throughout the year</w:t>
            </w:r>
            <w:r w:rsidR="00F24AA0" w:rsidRPr="00E76E1D">
              <w:rPr>
                <w:rFonts w:cstheme="minorHAnsi"/>
                <w:sz w:val="24"/>
                <w:szCs w:val="24"/>
              </w:rPr>
              <w:t xml:space="preserve">, including </w:t>
            </w:r>
            <w:r w:rsidR="006039F5" w:rsidRPr="00E76E1D">
              <w:rPr>
                <w:rFonts w:cstheme="minorHAnsi"/>
                <w:sz w:val="24"/>
                <w:szCs w:val="24"/>
              </w:rPr>
              <w:t xml:space="preserve">in </w:t>
            </w:r>
            <w:r w:rsidR="009E6286">
              <w:rPr>
                <w:rFonts w:cstheme="minorHAnsi"/>
                <w:sz w:val="24"/>
                <w:szCs w:val="24"/>
              </w:rPr>
              <w:t>2025</w:t>
            </w:r>
            <w:r w:rsidR="006039F5" w:rsidRPr="00E76E1D">
              <w:rPr>
                <w:rFonts w:cstheme="minorHAnsi"/>
                <w:sz w:val="24"/>
                <w:szCs w:val="24"/>
              </w:rPr>
              <w:t xml:space="preserve"> </w:t>
            </w:r>
            <w:r w:rsidR="000A78FE" w:rsidRPr="00E76E1D">
              <w:rPr>
                <w:rFonts w:cstheme="minorHAnsi"/>
                <w:sz w:val="24"/>
                <w:szCs w:val="24"/>
              </w:rPr>
              <w:t xml:space="preserve">the </w:t>
            </w:r>
            <w:r w:rsidR="00283501" w:rsidRPr="00E76E1D">
              <w:rPr>
                <w:rFonts w:cstheme="minorHAnsi"/>
                <w:sz w:val="24"/>
                <w:szCs w:val="24"/>
              </w:rPr>
              <w:t>Mining Indaba in Cape Town in February and the 121</w:t>
            </w:r>
            <w:r w:rsidR="000A78FE" w:rsidRPr="00E76E1D">
              <w:rPr>
                <w:rFonts w:cstheme="minorHAnsi"/>
                <w:sz w:val="24"/>
                <w:szCs w:val="24"/>
              </w:rPr>
              <w:t xml:space="preserve"> </w:t>
            </w:r>
            <w:r w:rsidR="00B339E3" w:rsidRPr="00E76E1D">
              <w:rPr>
                <w:rFonts w:cstheme="minorHAnsi"/>
                <w:sz w:val="24"/>
                <w:szCs w:val="24"/>
              </w:rPr>
              <w:t>Mining Investment conference</w:t>
            </w:r>
            <w:r w:rsidR="00530351" w:rsidRPr="00E76E1D">
              <w:rPr>
                <w:rFonts w:cstheme="minorHAnsi"/>
                <w:sz w:val="24"/>
                <w:szCs w:val="24"/>
              </w:rPr>
              <w:t xml:space="preserve"> </w:t>
            </w:r>
            <w:r w:rsidR="00283501" w:rsidRPr="00E76E1D">
              <w:rPr>
                <w:rFonts w:cstheme="minorHAnsi"/>
                <w:sz w:val="24"/>
                <w:szCs w:val="24"/>
              </w:rPr>
              <w:t>there</w:t>
            </w:r>
            <w:r w:rsidR="002967AB" w:rsidRPr="00E76E1D">
              <w:rPr>
                <w:rFonts w:cstheme="minorHAnsi"/>
                <w:sz w:val="24"/>
                <w:szCs w:val="24"/>
              </w:rPr>
              <w:t xml:space="preserve">, </w:t>
            </w:r>
            <w:r w:rsidR="006039F5" w:rsidRPr="00E76E1D">
              <w:rPr>
                <w:rFonts w:cstheme="minorHAnsi"/>
                <w:sz w:val="24"/>
                <w:szCs w:val="24"/>
              </w:rPr>
              <w:t>the Zeus Conference in London in May, the 121 Mining Investment conference in New York in June</w:t>
            </w:r>
            <w:r w:rsidR="000E3F3B" w:rsidRPr="00E76E1D">
              <w:rPr>
                <w:rFonts w:cstheme="minorHAnsi"/>
                <w:sz w:val="24"/>
                <w:szCs w:val="24"/>
              </w:rPr>
              <w:t xml:space="preserve">, and in </w:t>
            </w:r>
            <w:r w:rsidR="000E3F3B" w:rsidRPr="00E76E1D">
              <w:rPr>
                <w:rFonts w:cstheme="minorHAnsi"/>
                <w:sz w:val="24"/>
                <w:szCs w:val="24"/>
              </w:rPr>
              <w:lastRenderedPageBreak/>
              <w:t>September</w:t>
            </w:r>
            <w:r w:rsidR="006039F5" w:rsidRPr="00E76E1D">
              <w:rPr>
                <w:rFonts w:cstheme="minorHAnsi"/>
                <w:sz w:val="24"/>
                <w:szCs w:val="24"/>
              </w:rPr>
              <w:t xml:space="preserve"> </w:t>
            </w:r>
            <w:r w:rsidR="00DE209C" w:rsidRPr="00E76E1D">
              <w:rPr>
                <w:rFonts w:cstheme="minorHAnsi"/>
                <w:sz w:val="24"/>
                <w:szCs w:val="24"/>
              </w:rPr>
              <w:t xml:space="preserve">the Precious Metals </w:t>
            </w:r>
            <w:r w:rsidR="000E3F3B" w:rsidRPr="00E76E1D">
              <w:rPr>
                <w:rFonts w:cstheme="minorHAnsi"/>
                <w:sz w:val="24"/>
                <w:szCs w:val="24"/>
              </w:rPr>
              <w:t>Conference</w:t>
            </w:r>
            <w:r w:rsidR="00DE209C" w:rsidRPr="00E76E1D">
              <w:rPr>
                <w:rFonts w:cstheme="minorHAnsi"/>
                <w:sz w:val="24"/>
                <w:szCs w:val="24"/>
              </w:rPr>
              <w:t xml:space="preserve"> at Beaver Creek</w:t>
            </w:r>
            <w:r w:rsidR="00E76E1D" w:rsidRPr="00E76E1D">
              <w:rPr>
                <w:rFonts w:cstheme="minorHAnsi"/>
                <w:sz w:val="24"/>
                <w:szCs w:val="24"/>
              </w:rPr>
              <w:t xml:space="preserve"> and </w:t>
            </w:r>
            <w:r w:rsidR="00DE209C" w:rsidRPr="00E76E1D">
              <w:rPr>
                <w:rFonts w:cstheme="minorHAnsi"/>
                <w:sz w:val="24"/>
                <w:szCs w:val="24"/>
              </w:rPr>
              <w:t xml:space="preserve">the </w:t>
            </w:r>
            <w:r w:rsidR="009A4286" w:rsidRPr="00E76E1D">
              <w:rPr>
                <w:rFonts w:cstheme="minorHAnsi"/>
                <w:sz w:val="24"/>
                <w:szCs w:val="24"/>
              </w:rPr>
              <w:t>Mining Forum Americas in Denver</w:t>
            </w:r>
            <w:r w:rsidR="00E76E1D" w:rsidRPr="00E76E1D">
              <w:rPr>
                <w:rFonts w:cstheme="minorHAnsi"/>
                <w:sz w:val="24"/>
                <w:szCs w:val="24"/>
              </w:rPr>
              <w:t xml:space="preserve">, </w:t>
            </w:r>
            <w:r w:rsidRPr="00E76E1D">
              <w:rPr>
                <w:rFonts w:cstheme="minorHAnsi"/>
                <w:sz w:val="24"/>
                <w:szCs w:val="24"/>
              </w:rPr>
              <w:t>at which it presents and answers questions on the strategy and development of the business.</w:t>
            </w:r>
          </w:p>
          <w:p w14:paraId="57F12C87" w14:textId="77777777" w:rsidR="001F42B8" w:rsidRDefault="001F42B8" w:rsidP="001F42B8">
            <w:pPr>
              <w:rPr>
                <w:rFonts w:cstheme="minorHAnsi"/>
                <w:sz w:val="24"/>
                <w:szCs w:val="24"/>
              </w:rPr>
            </w:pPr>
          </w:p>
          <w:p w14:paraId="725D2237" w14:textId="28DCC012" w:rsidR="001F42B8" w:rsidRPr="00E57C84" w:rsidRDefault="001F42B8" w:rsidP="001F42B8">
            <w:pPr>
              <w:rPr>
                <w:rFonts w:cstheme="minorHAnsi"/>
                <w:sz w:val="24"/>
                <w:szCs w:val="24"/>
              </w:rPr>
            </w:pPr>
            <w:r>
              <w:rPr>
                <w:rFonts w:cstheme="minorHAnsi"/>
                <w:sz w:val="24"/>
                <w:szCs w:val="24"/>
              </w:rPr>
              <w:t>Topics recently raised by shareholders</w:t>
            </w:r>
            <w:r w:rsidR="005E66EB">
              <w:rPr>
                <w:rFonts w:cstheme="minorHAnsi"/>
                <w:sz w:val="24"/>
                <w:szCs w:val="24"/>
              </w:rPr>
              <w:t>, analysts</w:t>
            </w:r>
            <w:r>
              <w:rPr>
                <w:rFonts w:cstheme="minorHAnsi"/>
                <w:sz w:val="24"/>
                <w:szCs w:val="24"/>
              </w:rPr>
              <w:t xml:space="preserve"> </w:t>
            </w:r>
            <w:r w:rsidR="005E66EB">
              <w:rPr>
                <w:rFonts w:cstheme="minorHAnsi"/>
                <w:sz w:val="24"/>
                <w:szCs w:val="24"/>
              </w:rPr>
              <w:t xml:space="preserve">and prospective investors </w:t>
            </w:r>
            <w:r>
              <w:rPr>
                <w:rFonts w:cstheme="minorHAnsi"/>
                <w:sz w:val="24"/>
                <w:szCs w:val="24"/>
              </w:rPr>
              <w:t>include</w:t>
            </w:r>
            <w:r w:rsidR="00124911">
              <w:rPr>
                <w:rFonts w:cstheme="minorHAnsi"/>
                <w:sz w:val="24"/>
                <w:szCs w:val="24"/>
              </w:rPr>
              <w:t xml:space="preserve"> geo-politic</w:t>
            </w:r>
            <w:r w:rsidR="003626C2">
              <w:rPr>
                <w:rFonts w:cstheme="minorHAnsi"/>
                <w:sz w:val="24"/>
                <w:szCs w:val="24"/>
              </w:rPr>
              <w:t>s (</w:t>
            </w:r>
            <w:r w:rsidR="00380CBC">
              <w:rPr>
                <w:rFonts w:cstheme="minorHAnsi"/>
                <w:sz w:val="24"/>
                <w:szCs w:val="24"/>
              </w:rPr>
              <w:t xml:space="preserve">particularly the challenges of </w:t>
            </w:r>
            <w:r w:rsidR="003626C2">
              <w:rPr>
                <w:rFonts w:cstheme="minorHAnsi"/>
                <w:sz w:val="24"/>
                <w:szCs w:val="24"/>
              </w:rPr>
              <w:t>mining in Africa), the financing and development of Bilboes</w:t>
            </w:r>
            <w:r w:rsidR="00DC771A">
              <w:rPr>
                <w:rFonts w:cstheme="minorHAnsi"/>
                <w:sz w:val="24"/>
                <w:szCs w:val="24"/>
              </w:rPr>
              <w:t>, Blanket’s operations and the regular dividend.</w:t>
            </w:r>
            <w:r w:rsidR="001E6933">
              <w:rPr>
                <w:rFonts w:cstheme="minorHAnsi"/>
                <w:sz w:val="24"/>
                <w:szCs w:val="24"/>
              </w:rPr>
              <w:t xml:space="preserve">  </w:t>
            </w:r>
            <w:r w:rsidR="0096038B">
              <w:rPr>
                <w:rFonts w:cstheme="minorHAnsi"/>
                <w:sz w:val="24"/>
                <w:szCs w:val="24"/>
              </w:rPr>
              <w:t xml:space="preserve">Shareholder feedback is presented to the </w:t>
            </w:r>
            <w:r w:rsidR="00EB3957">
              <w:rPr>
                <w:rFonts w:cstheme="minorHAnsi"/>
                <w:sz w:val="24"/>
                <w:szCs w:val="24"/>
              </w:rPr>
              <w:t xml:space="preserve">Board </w:t>
            </w:r>
            <w:r w:rsidR="0096038B">
              <w:rPr>
                <w:rFonts w:cstheme="minorHAnsi"/>
                <w:sz w:val="24"/>
                <w:szCs w:val="24"/>
              </w:rPr>
              <w:t xml:space="preserve">each quarter and acted upon accordingly.  </w:t>
            </w:r>
            <w:r w:rsidR="001E6933">
              <w:rPr>
                <w:rFonts w:cstheme="minorHAnsi"/>
                <w:sz w:val="24"/>
                <w:szCs w:val="24"/>
              </w:rPr>
              <w:t xml:space="preserve">Caledonia </w:t>
            </w:r>
            <w:r w:rsidR="00126ABF">
              <w:rPr>
                <w:rFonts w:cstheme="minorHAnsi"/>
                <w:sz w:val="24"/>
                <w:szCs w:val="24"/>
              </w:rPr>
              <w:t>makes disclosures over and above regulatory requirements in order to ensure</w:t>
            </w:r>
            <w:r w:rsidR="0088568B">
              <w:rPr>
                <w:rFonts w:cstheme="minorHAnsi"/>
                <w:sz w:val="24"/>
                <w:szCs w:val="24"/>
              </w:rPr>
              <w:t xml:space="preserve"> its strategy</w:t>
            </w:r>
            <w:r w:rsidR="006A78A0">
              <w:rPr>
                <w:rFonts w:cstheme="minorHAnsi"/>
                <w:sz w:val="24"/>
                <w:szCs w:val="24"/>
              </w:rPr>
              <w:t>,</w:t>
            </w:r>
            <w:r w:rsidR="0088568B">
              <w:rPr>
                <w:rFonts w:cstheme="minorHAnsi"/>
                <w:sz w:val="24"/>
                <w:szCs w:val="24"/>
              </w:rPr>
              <w:t xml:space="preserve"> </w:t>
            </w:r>
            <w:r w:rsidR="00404318">
              <w:rPr>
                <w:rFonts w:cstheme="minorHAnsi"/>
                <w:sz w:val="24"/>
                <w:szCs w:val="24"/>
              </w:rPr>
              <w:t>the</w:t>
            </w:r>
            <w:r w:rsidR="0088568B">
              <w:rPr>
                <w:rFonts w:cstheme="minorHAnsi"/>
                <w:sz w:val="24"/>
                <w:szCs w:val="24"/>
              </w:rPr>
              <w:t xml:space="preserve"> risks </w:t>
            </w:r>
            <w:r w:rsidR="00404318">
              <w:rPr>
                <w:rFonts w:cstheme="minorHAnsi"/>
                <w:sz w:val="24"/>
                <w:szCs w:val="24"/>
              </w:rPr>
              <w:t xml:space="preserve">it faces </w:t>
            </w:r>
            <w:r w:rsidR="006A78A0">
              <w:rPr>
                <w:rFonts w:cstheme="minorHAnsi"/>
                <w:sz w:val="24"/>
                <w:szCs w:val="24"/>
              </w:rPr>
              <w:t xml:space="preserve">and how it responds to and mitigates those risks </w:t>
            </w:r>
            <w:r w:rsidR="00126ABF">
              <w:rPr>
                <w:rFonts w:cstheme="minorHAnsi"/>
                <w:sz w:val="24"/>
                <w:szCs w:val="24"/>
              </w:rPr>
              <w:t xml:space="preserve">are regularly </w:t>
            </w:r>
            <w:r w:rsidR="00404318">
              <w:rPr>
                <w:rFonts w:cstheme="minorHAnsi"/>
                <w:sz w:val="24"/>
                <w:szCs w:val="24"/>
              </w:rPr>
              <w:t xml:space="preserve">articulated to </w:t>
            </w:r>
            <w:r w:rsidR="0088568B">
              <w:rPr>
                <w:rFonts w:cstheme="minorHAnsi"/>
                <w:sz w:val="24"/>
                <w:szCs w:val="24"/>
              </w:rPr>
              <w:t>the market</w:t>
            </w:r>
            <w:r w:rsidR="00404318">
              <w:rPr>
                <w:rFonts w:cstheme="minorHAnsi"/>
                <w:sz w:val="24"/>
                <w:szCs w:val="24"/>
              </w:rPr>
              <w:t>.</w:t>
            </w:r>
            <w:r w:rsidR="0088568B">
              <w:rPr>
                <w:rFonts w:cstheme="minorHAnsi"/>
                <w:sz w:val="24"/>
                <w:szCs w:val="24"/>
              </w:rPr>
              <w:t xml:space="preserve"> </w:t>
            </w:r>
          </w:p>
          <w:p w14:paraId="5D3C61D9" w14:textId="1EAF31BD" w:rsidR="00D23177" w:rsidRPr="00E57C84" w:rsidRDefault="00D23177" w:rsidP="00D23177">
            <w:pPr>
              <w:rPr>
                <w:rFonts w:cstheme="minorHAnsi"/>
                <w:sz w:val="24"/>
                <w:szCs w:val="24"/>
              </w:rPr>
            </w:pPr>
          </w:p>
          <w:p w14:paraId="2059E483" w14:textId="1383A303" w:rsidR="00D23177" w:rsidRPr="00E57C84" w:rsidRDefault="00D23177" w:rsidP="00D23177">
            <w:pPr>
              <w:rPr>
                <w:rFonts w:cstheme="minorHAnsi"/>
                <w:sz w:val="24"/>
                <w:szCs w:val="24"/>
              </w:rPr>
            </w:pPr>
            <w:r w:rsidRPr="00E57C84">
              <w:rPr>
                <w:rFonts w:cstheme="minorHAnsi"/>
                <w:sz w:val="24"/>
                <w:szCs w:val="24"/>
              </w:rPr>
              <w:t xml:space="preserve">Caledonia welcomes the opportunity to engage with shareholders throughout the year and is regularly contacted directly </w:t>
            </w:r>
            <w:r>
              <w:rPr>
                <w:rFonts w:cstheme="minorHAnsi"/>
                <w:sz w:val="24"/>
                <w:szCs w:val="24"/>
              </w:rPr>
              <w:t xml:space="preserve">and responds </w:t>
            </w:r>
            <w:r w:rsidRPr="00E57C84">
              <w:rPr>
                <w:rFonts w:cstheme="minorHAnsi"/>
                <w:sz w:val="24"/>
                <w:szCs w:val="24"/>
              </w:rPr>
              <w:t>via email and telephone.</w:t>
            </w:r>
            <w:r w:rsidR="003564E6">
              <w:rPr>
                <w:rFonts w:cstheme="minorHAnsi"/>
                <w:sz w:val="24"/>
                <w:szCs w:val="24"/>
              </w:rPr>
              <w:t xml:space="preserve">  </w:t>
            </w:r>
            <w:r w:rsidR="00234A31">
              <w:rPr>
                <w:rFonts w:cstheme="minorHAnsi"/>
                <w:sz w:val="24"/>
                <w:szCs w:val="24"/>
              </w:rPr>
              <w:t xml:space="preserve">Shareholders can email </w:t>
            </w:r>
            <w:hyperlink r:id="rId16" w:history="1">
              <w:r w:rsidR="00234A31" w:rsidRPr="00BD607A">
                <w:rPr>
                  <w:rStyle w:val="Hyperlink"/>
                  <w:rFonts w:cstheme="minorHAnsi"/>
                  <w:sz w:val="24"/>
                  <w:szCs w:val="24"/>
                </w:rPr>
                <w:t>info@caledoniamining.com</w:t>
              </w:r>
            </w:hyperlink>
            <w:r w:rsidR="00234A31">
              <w:rPr>
                <w:rFonts w:cstheme="minorHAnsi"/>
                <w:sz w:val="24"/>
                <w:szCs w:val="24"/>
              </w:rPr>
              <w:t xml:space="preserve"> or contact Caledonia’s Head of Communications at </w:t>
            </w:r>
            <w:hyperlink r:id="rId17" w:history="1">
              <w:r w:rsidR="00A5226B" w:rsidRPr="00A5226B">
                <w:rPr>
                  <w:rStyle w:val="Hyperlink"/>
                  <w:rFonts w:cstheme="minorHAnsi"/>
                  <w:sz w:val="24"/>
                  <w:szCs w:val="24"/>
                </w:rPr>
                <w:t>camillahorsfall@caledoniamining.com</w:t>
              </w:r>
            </w:hyperlink>
            <w:r w:rsidR="001F42B8">
              <w:rPr>
                <w:rFonts w:cstheme="minorHAnsi"/>
                <w:sz w:val="24"/>
                <w:szCs w:val="24"/>
              </w:rPr>
              <w:t xml:space="preserve"> should they have any questions.</w:t>
            </w:r>
          </w:p>
        </w:tc>
      </w:tr>
      <w:tr w:rsidR="00800362" w:rsidRPr="00E57C84" w14:paraId="5BB9D375" w14:textId="77777777" w:rsidTr="00221CE9">
        <w:tc>
          <w:tcPr>
            <w:tcW w:w="562" w:type="dxa"/>
          </w:tcPr>
          <w:p w14:paraId="2DB238F6" w14:textId="77777777" w:rsidR="008818B1" w:rsidRPr="00E57C84" w:rsidRDefault="008818B1" w:rsidP="008818B1">
            <w:pPr>
              <w:pStyle w:val="ListParagraph"/>
              <w:numPr>
                <w:ilvl w:val="0"/>
                <w:numId w:val="1"/>
              </w:numPr>
              <w:ind w:left="306" w:hanging="284"/>
              <w:rPr>
                <w:rFonts w:cstheme="minorHAnsi"/>
                <w:color w:val="000000"/>
                <w:sz w:val="24"/>
                <w:szCs w:val="24"/>
              </w:rPr>
            </w:pPr>
          </w:p>
        </w:tc>
        <w:tc>
          <w:tcPr>
            <w:tcW w:w="2977" w:type="dxa"/>
          </w:tcPr>
          <w:p w14:paraId="26E62E37" w14:textId="3C116941" w:rsidR="008818B1" w:rsidRPr="00E57C84" w:rsidRDefault="008818B1" w:rsidP="008818B1">
            <w:pPr>
              <w:rPr>
                <w:rFonts w:cstheme="minorHAnsi"/>
                <w:sz w:val="24"/>
                <w:szCs w:val="24"/>
              </w:rPr>
            </w:pPr>
            <w:r w:rsidRPr="00E57C84">
              <w:rPr>
                <w:rFonts w:cstheme="minorHAnsi"/>
                <w:color w:val="000000"/>
                <w:sz w:val="24"/>
                <w:szCs w:val="24"/>
              </w:rPr>
              <w:t xml:space="preserve">Take into account wider stakeholder </w:t>
            </w:r>
            <w:r w:rsidR="008345A5" w:rsidRPr="008345A5">
              <w:rPr>
                <w:rFonts w:cstheme="minorHAnsi"/>
                <w:color w:val="000000"/>
                <w:sz w:val="24"/>
                <w:szCs w:val="24"/>
              </w:rPr>
              <w:t xml:space="preserve">interests, including </w:t>
            </w:r>
            <w:r w:rsidRPr="00E57C84">
              <w:rPr>
                <w:rFonts w:cstheme="minorHAnsi"/>
                <w:color w:val="000000"/>
                <w:sz w:val="24"/>
                <w:szCs w:val="24"/>
              </w:rPr>
              <w:t xml:space="preserve">social </w:t>
            </w:r>
            <w:r w:rsidR="000F3A0B" w:rsidRPr="000F3A0B">
              <w:rPr>
                <w:rFonts w:cstheme="minorHAnsi"/>
                <w:color w:val="000000"/>
                <w:sz w:val="24"/>
                <w:szCs w:val="24"/>
              </w:rPr>
              <w:t xml:space="preserve">and environmental </w:t>
            </w:r>
            <w:r w:rsidRPr="00E57C84">
              <w:rPr>
                <w:rFonts w:cstheme="minorHAnsi"/>
                <w:color w:val="000000"/>
                <w:sz w:val="24"/>
                <w:szCs w:val="24"/>
              </w:rPr>
              <w:t>responsibilities</w:t>
            </w:r>
            <w:r w:rsidR="000F3A0B">
              <w:rPr>
                <w:rFonts w:cstheme="minorHAnsi"/>
                <w:color w:val="000000"/>
                <w:sz w:val="24"/>
                <w:szCs w:val="24"/>
              </w:rPr>
              <w:t>,</w:t>
            </w:r>
            <w:r w:rsidRPr="00E57C84">
              <w:rPr>
                <w:rFonts w:cstheme="minorHAnsi"/>
                <w:color w:val="000000"/>
                <w:sz w:val="24"/>
                <w:szCs w:val="24"/>
              </w:rPr>
              <w:t xml:space="preserve"> and their implications for long-term success</w:t>
            </w:r>
          </w:p>
        </w:tc>
        <w:tc>
          <w:tcPr>
            <w:tcW w:w="10490" w:type="dxa"/>
          </w:tcPr>
          <w:p w14:paraId="4516A935" w14:textId="7E371A00" w:rsidR="00DB6D38" w:rsidRPr="00E57C84" w:rsidRDefault="00570886" w:rsidP="00570886">
            <w:pPr>
              <w:rPr>
                <w:rFonts w:cstheme="minorHAnsi"/>
                <w:sz w:val="24"/>
                <w:szCs w:val="24"/>
              </w:rPr>
            </w:pPr>
            <w:r w:rsidRPr="00E57C84">
              <w:rPr>
                <w:rFonts w:cstheme="minorHAnsi"/>
                <w:sz w:val="24"/>
                <w:szCs w:val="24"/>
              </w:rPr>
              <w:t>The Company</w:t>
            </w:r>
            <w:r w:rsidR="00DB6D38" w:rsidRPr="00E57C84">
              <w:rPr>
                <w:rFonts w:cstheme="minorHAnsi"/>
                <w:sz w:val="24"/>
                <w:szCs w:val="24"/>
              </w:rPr>
              <w:t xml:space="preserve"> recognises that its</w:t>
            </w:r>
            <w:r w:rsidRPr="00E57C84">
              <w:rPr>
                <w:rFonts w:cstheme="minorHAnsi"/>
                <w:sz w:val="24"/>
                <w:szCs w:val="24"/>
              </w:rPr>
              <w:t xml:space="preserve"> long-term success relies upon good relations with all its stakeholder groups, both internal and external</w:t>
            </w:r>
            <w:r w:rsidR="00E43A16" w:rsidRPr="00E57C84">
              <w:rPr>
                <w:rFonts w:cstheme="minorHAnsi"/>
                <w:sz w:val="24"/>
                <w:szCs w:val="24"/>
              </w:rPr>
              <w:t>, and taking account of their views.</w:t>
            </w:r>
            <w:r w:rsidRPr="00E57C84">
              <w:rPr>
                <w:rFonts w:cstheme="minorHAnsi"/>
                <w:sz w:val="24"/>
                <w:szCs w:val="24"/>
              </w:rPr>
              <w:t xml:space="preserve"> </w:t>
            </w:r>
          </w:p>
          <w:p w14:paraId="1A696236" w14:textId="77777777" w:rsidR="00DB6D38" w:rsidRPr="00E57C84" w:rsidRDefault="00DB6D38" w:rsidP="00570886">
            <w:pPr>
              <w:rPr>
                <w:rFonts w:cstheme="minorHAnsi"/>
                <w:sz w:val="24"/>
                <w:szCs w:val="24"/>
              </w:rPr>
            </w:pPr>
          </w:p>
          <w:p w14:paraId="04324F9E" w14:textId="394FDB84" w:rsidR="00570886" w:rsidRPr="00E57C84" w:rsidRDefault="00EF64DD" w:rsidP="00570886">
            <w:pPr>
              <w:rPr>
                <w:rFonts w:cstheme="minorHAnsi"/>
                <w:sz w:val="24"/>
                <w:szCs w:val="24"/>
              </w:rPr>
            </w:pPr>
            <w:r w:rsidRPr="00E57C84">
              <w:rPr>
                <w:rFonts w:cstheme="minorHAnsi"/>
                <w:sz w:val="24"/>
                <w:szCs w:val="24"/>
              </w:rPr>
              <w:t xml:space="preserve">Stakeholders include shareholders, employees, </w:t>
            </w:r>
            <w:r w:rsidR="00EE0527" w:rsidRPr="00E57C84">
              <w:rPr>
                <w:rFonts w:cstheme="minorHAnsi"/>
                <w:sz w:val="24"/>
                <w:szCs w:val="24"/>
              </w:rPr>
              <w:t xml:space="preserve">the local community, </w:t>
            </w:r>
            <w:r w:rsidR="00DB6D38" w:rsidRPr="00E57C84">
              <w:rPr>
                <w:rFonts w:cstheme="minorHAnsi"/>
                <w:sz w:val="24"/>
                <w:szCs w:val="24"/>
              </w:rPr>
              <w:t xml:space="preserve">government, </w:t>
            </w:r>
            <w:r w:rsidRPr="00E57C84">
              <w:rPr>
                <w:rFonts w:cstheme="minorHAnsi"/>
                <w:sz w:val="24"/>
                <w:szCs w:val="24"/>
              </w:rPr>
              <w:t>suppliers, customers, regulators, industry bodies and creditors. The principal ways in which their feedback is gathered are via meetings and conversations.</w:t>
            </w:r>
            <w:r w:rsidR="00054F8E">
              <w:rPr>
                <w:rFonts w:cstheme="minorHAnsi"/>
                <w:sz w:val="24"/>
                <w:szCs w:val="24"/>
              </w:rPr>
              <w:t xml:space="preserve">  All stakeholders, and employees in particular, are encouraged to make use of grievance mechanisms including the externally</w:t>
            </w:r>
            <w:r w:rsidR="008E49C4">
              <w:rPr>
                <w:rFonts w:cstheme="minorHAnsi"/>
                <w:sz w:val="24"/>
                <w:szCs w:val="24"/>
              </w:rPr>
              <w:t xml:space="preserve"> facilitated</w:t>
            </w:r>
            <w:r w:rsidR="00054F8E">
              <w:rPr>
                <w:rFonts w:cstheme="minorHAnsi"/>
                <w:sz w:val="24"/>
                <w:szCs w:val="24"/>
              </w:rPr>
              <w:t xml:space="preserve"> whistleblowing service</w:t>
            </w:r>
            <w:r w:rsidR="00841A8A">
              <w:rPr>
                <w:rFonts w:cstheme="minorHAnsi"/>
                <w:sz w:val="24"/>
                <w:szCs w:val="24"/>
              </w:rPr>
              <w:t xml:space="preserve"> if they have particular concerns.</w:t>
            </w:r>
            <w:r w:rsidR="00CD3D1B">
              <w:rPr>
                <w:rFonts w:cstheme="minorHAnsi"/>
                <w:sz w:val="24"/>
                <w:szCs w:val="24"/>
              </w:rPr>
              <w:t xml:space="preserve">  A new whistleblowing policy, setting out how whistleblowing reports are dealt with</w:t>
            </w:r>
            <w:r w:rsidR="00CA1776">
              <w:rPr>
                <w:rFonts w:cstheme="minorHAnsi"/>
                <w:sz w:val="24"/>
                <w:szCs w:val="24"/>
              </w:rPr>
              <w:t>, was adopted in 2025.</w:t>
            </w:r>
          </w:p>
          <w:p w14:paraId="01540E73" w14:textId="77777777" w:rsidR="00EE0527" w:rsidRPr="00E57C84" w:rsidRDefault="00EE0527" w:rsidP="00570886">
            <w:pPr>
              <w:rPr>
                <w:rFonts w:cstheme="minorHAnsi"/>
                <w:sz w:val="24"/>
                <w:szCs w:val="24"/>
              </w:rPr>
            </w:pPr>
          </w:p>
          <w:p w14:paraId="1C0197A8" w14:textId="257CC3F2" w:rsidR="00570886" w:rsidRPr="00E57C84" w:rsidRDefault="00570886" w:rsidP="00570886">
            <w:pPr>
              <w:rPr>
                <w:rFonts w:cstheme="minorHAnsi"/>
                <w:sz w:val="24"/>
                <w:szCs w:val="24"/>
              </w:rPr>
            </w:pPr>
            <w:r w:rsidRPr="00E57C84">
              <w:rPr>
                <w:rFonts w:cstheme="minorHAnsi"/>
                <w:sz w:val="24"/>
                <w:szCs w:val="24"/>
              </w:rPr>
              <w:t>Regular dialogue is held externally with wider stakeholder group representatives</w:t>
            </w:r>
            <w:r w:rsidR="00EE0527" w:rsidRPr="00E57C84">
              <w:rPr>
                <w:rFonts w:cstheme="minorHAnsi"/>
                <w:sz w:val="24"/>
                <w:szCs w:val="24"/>
              </w:rPr>
              <w:t>, including in particular government authorities and the local community,</w:t>
            </w:r>
            <w:r w:rsidRPr="00E57C84">
              <w:rPr>
                <w:rFonts w:cstheme="minorHAnsi"/>
                <w:sz w:val="24"/>
                <w:szCs w:val="24"/>
              </w:rPr>
              <w:t xml:space="preserve"> to ensure that </w:t>
            </w:r>
            <w:r w:rsidR="00EE0527" w:rsidRPr="00E57C84">
              <w:rPr>
                <w:rFonts w:cstheme="minorHAnsi"/>
                <w:sz w:val="24"/>
                <w:szCs w:val="24"/>
              </w:rPr>
              <w:t>operations</w:t>
            </w:r>
            <w:r w:rsidRPr="00E57C84">
              <w:rPr>
                <w:rFonts w:cstheme="minorHAnsi"/>
                <w:sz w:val="24"/>
                <w:szCs w:val="24"/>
              </w:rPr>
              <w:t xml:space="preserve"> in </w:t>
            </w:r>
            <w:r w:rsidR="00EE0527" w:rsidRPr="00E57C84">
              <w:rPr>
                <w:rFonts w:cstheme="minorHAnsi"/>
                <w:sz w:val="24"/>
                <w:szCs w:val="24"/>
              </w:rPr>
              <w:t>Zimbabwe</w:t>
            </w:r>
            <w:r w:rsidRPr="00E57C84">
              <w:rPr>
                <w:rFonts w:cstheme="minorHAnsi"/>
                <w:sz w:val="24"/>
                <w:szCs w:val="24"/>
              </w:rPr>
              <w:t xml:space="preserve"> </w:t>
            </w:r>
            <w:r w:rsidR="00EE0527" w:rsidRPr="00E57C84">
              <w:rPr>
                <w:rFonts w:cstheme="minorHAnsi"/>
                <w:sz w:val="24"/>
                <w:szCs w:val="24"/>
              </w:rPr>
              <w:t>are conducted effectively</w:t>
            </w:r>
            <w:r w:rsidR="00DB6D38" w:rsidRPr="00E57C84">
              <w:rPr>
                <w:rFonts w:cstheme="minorHAnsi"/>
                <w:sz w:val="24"/>
                <w:szCs w:val="24"/>
              </w:rPr>
              <w:t xml:space="preserve"> and with due regard to the business’ obligations to the people </w:t>
            </w:r>
            <w:r w:rsidR="00C65E57" w:rsidRPr="00E57C84">
              <w:rPr>
                <w:rFonts w:cstheme="minorHAnsi"/>
                <w:sz w:val="24"/>
                <w:szCs w:val="24"/>
              </w:rPr>
              <w:t xml:space="preserve">and environment </w:t>
            </w:r>
            <w:r w:rsidR="00DB6D38" w:rsidRPr="00E57C84">
              <w:rPr>
                <w:rFonts w:cstheme="minorHAnsi"/>
                <w:sz w:val="24"/>
                <w:szCs w:val="24"/>
              </w:rPr>
              <w:t>of Zimbabwe</w:t>
            </w:r>
            <w:r w:rsidR="00EE0527" w:rsidRPr="00E57C84">
              <w:rPr>
                <w:rFonts w:cstheme="minorHAnsi"/>
                <w:sz w:val="24"/>
                <w:szCs w:val="24"/>
              </w:rPr>
              <w:t>.</w:t>
            </w:r>
          </w:p>
          <w:p w14:paraId="5BF041B8" w14:textId="77777777" w:rsidR="004D5847" w:rsidRDefault="004D5847" w:rsidP="004D5847">
            <w:pPr>
              <w:rPr>
                <w:rFonts w:cstheme="minorHAnsi"/>
                <w:sz w:val="24"/>
                <w:szCs w:val="24"/>
              </w:rPr>
            </w:pPr>
          </w:p>
          <w:p w14:paraId="10FF0BFD" w14:textId="5FAD4110" w:rsidR="004D5847" w:rsidRDefault="004D5847" w:rsidP="004D5847">
            <w:pPr>
              <w:rPr>
                <w:rFonts w:cstheme="minorHAnsi"/>
                <w:sz w:val="24"/>
                <w:szCs w:val="24"/>
              </w:rPr>
            </w:pPr>
            <w:r>
              <w:rPr>
                <w:rFonts w:cstheme="minorHAnsi"/>
                <w:sz w:val="24"/>
                <w:szCs w:val="24"/>
              </w:rPr>
              <w:t xml:space="preserve">In 2023, Caledonia circulated a stakeholder materiality assessment questionnaire to certain of its stakeholders in order to confirm the issues with respect to ESG which its stakeholders consider that the </w:t>
            </w:r>
            <w:r>
              <w:rPr>
                <w:rFonts w:cstheme="minorHAnsi"/>
                <w:sz w:val="24"/>
                <w:szCs w:val="24"/>
              </w:rPr>
              <w:lastRenderedPageBreak/>
              <w:t xml:space="preserve">business should focus on.  The result of the assessment </w:t>
            </w:r>
            <w:r w:rsidR="00D41548">
              <w:rPr>
                <w:rFonts w:cstheme="minorHAnsi"/>
                <w:sz w:val="24"/>
                <w:szCs w:val="24"/>
              </w:rPr>
              <w:t xml:space="preserve">was </w:t>
            </w:r>
            <w:r w:rsidR="007D0540">
              <w:rPr>
                <w:rFonts w:cstheme="minorHAnsi"/>
                <w:sz w:val="24"/>
                <w:szCs w:val="24"/>
              </w:rPr>
              <w:t>set out</w:t>
            </w:r>
            <w:r w:rsidR="00D41548">
              <w:rPr>
                <w:rFonts w:cstheme="minorHAnsi"/>
                <w:sz w:val="24"/>
                <w:szCs w:val="24"/>
              </w:rPr>
              <w:t xml:space="preserve"> in the </w:t>
            </w:r>
            <w:r w:rsidR="00B74425">
              <w:rPr>
                <w:rFonts w:cstheme="minorHAnsi"/>
                <w:sz w:val="24"/>
                <w:szCs w:val="24"/>
              </w:rPr>
              <w:t xml:space="preserve">annual ESG report that was published in </w:t>
            </w:r>
            <w:r w:rsidR="00781D00">
              <w:rPr>
                <w:rFonts w:cstheme="minorHAnsi"/>
                <w:sz w:val="24"/>
                <w:szCs w:val="24"/>
              </w:rPr>
              <w:t xml:space="preserve">August 2024 </w:t>
            </w:r>
            <w:r w:rsidR="00B74425">
              <w:rPr>
                <w:rFonts w:cstheme="minorHAnsi"/>
                <w:sz w:val="24"/>
                <w:szCs w:val="24"/>
              </w:rPr>
              <w:t xml:space="preserve">and </w:t>
            </w:r>
            <w:r>
              <w:rPr>
                <w:rFonts w:cstheme="minorHAnsi"/>
                <w:sz w:val="24"/>
                <w:szCs w:val="24"/>
              </w:rPr>
              <w:t>inform</w:t>
            </w:r>
            <w:r w:rsidR="00C40E48">
              <w:rPr>
                <w:rFonts w:cstheme="minorHAnsi"/>
                <w:sz w:val="24"/>
                <w:szCs w:val="24"/>
              </w:rPr>
              <w:t>s</w:t>
            </w:r>
            <w:r>
              <w:rPr>
                <w:rFonts w:cstheme="minorHAnsi"/>
                <w:sz w:val="24"/>
                <w:szCs w:val="24"/>
              </w:rPr>
              <w:t xml:space="preserve"> the ESG strategy of the business going forwards.  </w:t>
            </w:r>
          </w:p>
          <w:p w14:paraId="732B8AAD" w14:textId="687410D9" w:rsidR="00DB6D38" w:rsidRPr="00E57C84" w:rsidRDefault="00DB6D38" w:rsidP="00570886">
            <w:pPr>
              <w:rPr>
                <w:rFonts w:cstheme="minorHAnsi"/>
                <w:sz w:val="24"/>
                <w:szCs w:val="24"/>
              </w:rPr>
            </w:pPr>
          </w:p>
          <w:p w14:paraId="6B433091" w14:textId="2FB8D3DB" w:rsidR="0066377F" w:rsidRDefault="00D261BC" w:rsidP="00570886">
            <w:pPr>
              <w:rPr>
                <w:rFonts w:cstheme="minorHAnsi"/>
                <w:sz w:val="24"/>
                <w:szCs w:val="24"/>
              </w:rPr>
            </w:pPr>
            <w:r>
              <w:rPr>
                <w:rFonts w:cstheme="minorHAnsi"/>
                <w:sz w:val="24"/>
                <w:szCs w:val="24"/>
              </w:rPr>
              <w:t>Blanket’s</w:t>
            </w:r>
            <w:r w:rsidR="00C65E57" w:rsidRPr="00E57C84">
              <w:rPr>
                <w:rFonts w:cstheme="minorHAnsi"/>
                <w:sz w:val="24"/>
                <w:szCs w:val="24"/>
              </w:rPr>
              <w:t xml:space="preserve"> </w:t>
            </w:r>
            <w:r w:rsidR="00DB6D38" w:rsidRPr="00E57C84">
              <w:rPr>
                <w:rFonts w:cstheme="minorHAnsi"/>
                <w:sz w:val="24"/>
                <w:szCs w:val="24"/>
              </w:rPr>
              <w:t xml:space="preserve">corporate and social responsibility </w:t>
            </w:r>
            <w:r w:rsidR="0045072B">
              <w:rPr>
                <w:rFonts w:cstheme="minorHAnsi"/>
                <w:sz w:val="24"/>
                <w:szCs w:val="24"/>
              </w:rPr>
              <w:t xml:space="preserve">(CSR) </w:t>
            </w:r>
            <w:r w:rsidR="00DB6D38" w:rsidRPr="00E57C84">
              <w:rPr>
                <w:rFonts w:cstheme="minorHAnsi"/>
                <w:sz w:val="24"/>
                <w:szCs w:val="24"/>
              </w:rPr>
              <w:t xml:space="preserve">strategy can be found </w:t>
            </w:r>
            <w:hyperlink r:id="rId18" w:history="1">
              <w:r w:rsidR="00DB6D38" w:rsidRPr="00E57C84">
                <w:rPr>
                  <w:rStyle w:val="Hyperlink"/>
                  <w:rFonts w:cstheme="minorHAnsi"/>
                  <w:sz w:val="24"/>
                  <w:szCs w:val="24"/>
                </w:rPr>
                <w:t>here</w:t>
              </w:r>
            </w:hyperlink>
            <w:r w:rsidR="00C25C6B" w:rsidRPr="00E57C84">
              <w:rPr>
                <w:rFonts w:cstheme="minorHAnsi"/>
                <w:sz w:val="24"/>
                <w:szCs w:val="24"/>
              </w:rPr>
              <w:t>.</w:t>
            </w:r>
            <w:r w:rsidR="00A752E8">
              <w:rPr>
                <w:rFonts w:cstheme="minorHAnsi"/>
                <w:sz w:val="24"/>
                <w:szCs w:val="24"/>
              </w:rPr>
              <w:t xml:space="preserve"> Caledonia’s ESG reports</w:t>
            </w:r>
            <w:r w:rsidR="00C462B2">
              <w:rPr>
                <w:rFonts w:cstheme="minorHAnsi"/>
                <w:sz w:val="24"/>
                <w:szCs w:val="24"/>
              </w:rPr>
              <w:t xml:space="preserve">, which can be found </w:t>
            </w:r>
            <w:hyperlink r:id="rId19" w:history="1">
              <w:r w:rsidR="00C462B2" w:rsidRPr="007205DE">
                <w:rPr>
                  <w:rStyle w:val="Hyperlink"/>
                  <w:rFonts w:cstheme="minorHAnsi"/>
                  <w:sz w:val="24"/>
                  <w:szCs w:val="24"/>
                </w:rPr>
                <w:t>here</w:t>
              </w:r>
            </w:hyperlink>
            <w:r w:rsidR="00C462B2">
              <w:rPr>
                <w:rFonts w:cstheme="minorHAnsi"/>
                <w:sz w:val="24"/>
                <w:szCs w:val="24"/>
              </w:rPr>
              <w:t>,</w:t>
            </w:r>
            <w:r w:rsidR="00A752E8">
              <w:rPr>
                <w:rFonts w:cstheme="minorHAnsi"/>
                <w:sz w:val="24"/>
                <w:szCs w:val="24"/>
              </w:rPr>
              <w:t xml:space="preserve"> </w:t>
            </w:r>
            <w:r w:rsidR="00356822">
              <w:rPr>
                <w:rFonts w:cstheme="minorHAnsi"/>
                <w:sz w:val="24"/>
                <w:szCs w:val="24"/>
              </w:rPr>
              <w:t>set out</w:t>
            </w:r>
            <w:r w:rsidR="00A752E8">
              <w:rPr>
                <w:rFonts w:cstheme="minorHAnsi"/>
                <w:sz w:val="24"/>
                <w:szCs w:val="24"/>
              </w:rPr>
              <w:t xml:space="preserve"> the </w:t>
            </w:r>
            <w:r w:rsidR="00356822" w:rsidRPr="00356822">
              <w:rPr>
                <w:rFonts w:cstheme="minorHAnsi"/>
                <w:sz w:val="24"/>
                <w:szCs w:val="24"/>
              </w:rPr>
              <w:t xml:space="preserve">environmental and social issues that the Board has identified as being material to the </w:t>
            </w:r>
            <w:r w:rsidR="00356822">
              <w:rPr>
                <w:rFonts w:cstheme="minorHAnsi"/>
                <w:sz w:val="24"/>
                <w:szCs w:val="24"/>
              </w:rPr>
              <w:t>Company</w:t>
            </w:r>
            <w:r w:rsidR="00356822" w:rsidRPr="00356822">
              <w:rPr>
                <w:rFonts w:cstheme="minorHAnsi"/>
                <w:sz w:val="24"/>
                <w:szCs w:val="24"/>
              </w:rPr>
              <w:t xml:space="preserve"> </w:t>
            </w:r>
            <w:r w:rsidR="00BA4EB2">
              <w:rPr>
                <w:rFonts w:cstheme="minorHAnsi"/>
                <w:sz w:val="24"/>
                <w:szCs w:val="24"/>
              </w:rPr>
              <w:t>(with a focus on particular United Nations Sustainable Development Goals</w:t>
            </w:r>
            <w:r w:rsidR="0097533D">
              <w:rPr>
                <w:rFonts w:cstheme="minorHAnsi"/>
                <w:sz w:val="24"/>
                <w:szCs w:val="24"/>
              </w:rPr>
              <w:t xml:space="preserve"> (SDGs)</w:t>
            </w:r>
            <w:r w:rsidR="00BA4EB2">
              <w:rPr>
                <w:rFonts w:cstheme="minorHAnsi"/>
                <w:sz w:val="24"/>
                <w:szCs w:val="24"/>
              </w:rPr>
              <w:t xml:space="preserve">) </w:t>
            </w:r>
            <w:r w:rsidR="00356822" w:rsidRPr="00356822">
              <w:rPr>
                <w:rFonts w:cstheme="minorHAnsi"/>
                <w:sz w:val="24"/>
                <w:szCs w:val="24"/>
              </w:rPr>
              <w:t>with reference to its purpose, strategy, and business model</w:t>
            </w:r>
            <w:r w:rsidR="00C462B2">
              <w:rPr>
                <w:rFonts w:cstheme="minorHAnsi"/>
                <w:sz w:val="24"/>
                <w:szCs w:val="24"/>
              </w:rPr>
              <w:t>.</w:t>
            </w:r>
          </w:p>
          <w:p w14:paraId="2BC23EB7" w14:textId="77777777" w:rsidR="0066377F" w:rsidRDefault="0066377F" w:rsidP="00570886">
            <w:pPr>
              <w:rPr>
                <w:rFonts w:cstheme="minorHAnsi"/>
                <w:sz w:val="24"/>
                <w:szCs w:val="24"/>
              </w:rPr>
            </w:pPr>
          </w:p>
          <w:p w14:paraId="7C687868" w14:textId="77777777" w:rsidR="0066377F" w:rsidRPr="0066377F" w:rsidRDefault="0066377F" w:rsidP="0066377F">
            <w:pPr>
              <w:rPr>
                <w:rFonts w:cstheme="minorHAnsi"/>
                <w:sz w:val="24"/>
                <w:szCs w:val="24"/>
              </w:rPr>
            </w:pPr>
            <w:r w:rsidRPr="0066377F">
              <w:rPr>
                <w:rFonts w:cstheme="minorHAnsi"/>
                <w:sz w:val="24"/>
                <w:szCs w:val="24"/>
              </w:rPr>
              <w:t>Caledonia recognises the impact that the group’s mining activities have on the local community in Zimbabwe.  Nearly 99% of the group’s employees are Zimbabwean and the vast majority at Blanket are, with their families, permanent residents of the mine village.  The Company believes it is critical that both employees and the local community are integral stakeholders in the long-term prosperity and sustainability of the business.  In 2012, the Company facilitated ownership of a significant portion of Blanket by local parties including: the acquisition of a 10% ownership interest in the mine by a trust in favour of the employees at the mine; and the donation of a 10% ownership interest in the mine to a trust in favour of the local community, and it also paid the trust advance dividends.  At the same time, it also facilitated the acquisition of a 16% ownership interest in the mine by the Zimbabwe government.</w:t>
            </w:r>
          </w:p>
          <w:p w14:paraId="4EE02AD6" w14:textId="3F0C4802" w:rsidR="0066377F" w:rsidRPr="0066377F" w:rsidRDefault="0066377F" w:rsidP="0066377F">
            <w:pPr>
              <w:rPr>
                <w:rFonts w:cstheme="minorHAnsi"/>
                <w:sz w:val="24"/>
                <w:szCs w:val="24"/>
              </w:rPr>
            </w:pPr>
            <w:r w:rsidRPr="0066377F">
              <w:rPr>
                <w:rFonts w:cstheme="minorHAnsi"/>
                <w:sz w:val="24"/>
                <w:szCs w:val="24"/>
              </w:rPr>
              <w:t xml:space="preserve">The mine supports various local CSR initiatives as reported in the Company’s management discussion and analysis, its ESG </w:t>
            </w:r>
            <w:r w:rsidR="00E41A9C">
              <w:rPr>
                <w:rFonts w:cstheme="minorHAnsi"/>
                <w:sz w:val="24"/>
                <w:szCs w:val="24"/>
              </w:rPr>
              <w:t>r</w:t>
            </w:r>
            <w:r w:rsidRPr="0066377F">
              <w:rPr>
                <w:rFonts w:cstheme="minorHAnsi"/>
                <w:sz w:val="24"/>
                <w:szCs w:val="24"/>
              </w:rPr>
              <w:t>eport</w:t>
            </w:r>
            <w:r w:rsidR="001241B1">
              <w:rPr>
                <w:rFonts w:cstheme="minorHAnsi"/>
                <w:sz w:val="24"/>
                <w:szCs w:val="24"/>
              </w:rPr>
              <w:t>s</w:t>
            </w:r>
            <w:r w:rsidRPr="0066377F">
              <w:rPr>
                <w:rFonts w:cstheme="minorHAnsi"/>
                <w:sz w:val="24"/>
                <w:szCs w:val="24"/>
              </w:rPr>
              <w:t xml:space="preserve"> and in conjunction with </w:t>
            </w:r>
            <w:r w:rsidR="001241B1">
              <w:rPr>
                <w:rFonts w:cstheme="minorHAnsi"/>
                <w:sz w:val="24"/>
                <w:szCs w:val="24"/>
              </w:rPr>
              <w:t>Blanket’s</w:t>
            </w:r>
            <w:r w:rsidRPr="0066377F">
              <w:rPr>
                <w:rFonts w:cstheme="minorHAnsi"/>
                <w:sz w:val="24"/>
                <w:szCs w:val="24"/>
              </w:rPr>
              <w:t xml:space="preserve"> CSR strategy. </w:t>
            </w:r>
          </w:p>
          <w:p w14:paraId="08D833BB" w14:textId="77777777" w:rsidR="0066377F" w:rsidRPr="0066377F" w:rsidRDefault="0066377F" w:rsidP="0066377F">
            <w:pPr>
              <w:rPr>
                <w:rFonts w:cstheme="minorHAnsi"/>
                <w:sz w:val="24"/>
                <w:szCs w:val="24"/>
              </w:rPr>
            </w:pPr>
          </w:p>
          <w:p w14:paraId="55A21720" w14:textId="0233AE21" w:rsidR="00E43A16" w:rsidRDefault="0066377F" w:rsidP="00570886">
            <w:pPr>
              <w:rPr>
                <w:rFonts w:cstheme="minorHAnsi"/>
                <w:sz w:val="24"/>
                <w:szCs w:val="24"/>
              </w:rPr>
            </w:pPr>
            <w:r w:rsidRPr="0066377F">
              <w:rPr>
                <w:rFonts w:cstheme="minorHAnsi"/>
                <w:sz w:val="24"/>
                <w:szCs w:val="24"/>
              </w:rPr>
              <w:t>With the Company’s focus on environmental sustainability, it commissioned a 12.2 MWac solar power plant at the mine in February 2023.  The plant is providing approximately 20% of Blanket’s daily electricity demand and has therefore demonstrably reduced the mine’s use of fossil fuels.  In April 2025, Caledonia sold the plant to a dedicated renewable energy provider in order to partner with an international renewable energy business and to release capital to re-invest in its core activity of mining.</w:t>
            </w:r>
          </w:p>
          <w:p w14:paraId="40F2CE38" w14:textId="77777777" w:rsidR="0066377F" w:rsidRPr="00E57C84" w:rsidRDefault="0066377F" w:rsidP="00570886">
            <w:pPr>
              <w:rPr>
                <w:rFonts w:cstheme="minorHAnsi"/>
                <w:sz w:val="24"/>
                <w:szCs w:val="24"/>
              </w:rPr>
            </w:pPr>
          </w:p>
          <w:p w14:paraId="71A16FE5" w14:textId="7F405713" w:rsidR="0003309D" w:rsidRDefault="00E43A16" w:rsidP="00570886">
            <w:pPr>
              <w:rPr>
                <w:rFonts w:cstheme="minorHAnsi"/>
                <w:sz w:val="24"/>
                <w:szCs w:val="24"/>
              </w:rPr>
            </w:pPr>
            <w:r w:rsidRPr="00E57C84">
              <w:rPr>
                <w:rFonts w:cstheme="minorHAnsi"/>
                <w:sz w:val="24"/>
                <w:szCs w:val="24"/>
              </w:rPr>
              <w:t xml:space="preserve">Caledonia takes its social and environmental responsibility seriously and </w:t>
            </w:r>
            <w:r w:rsidR="008705A9">
              <w:rPr>
                <w:rFonts w:cstheme="minorHAnsi"/>
                <w:sz w:val="24"/>
                <w:szCs w:val="24"/>
              </w:rPr>
              <w:t>during 2021</w:t>
            </w:r>
            <w:r w:rsidRPr="00E57C84">
              <w:rPr>
                <w:rFonts w:cstheme="minorHAnsi"/>
                <w:sz w:val="24"/>
                <w:szCs w:val="24"/>
              </w:rPr>
              <w:t xml:space="preserve"> </w:t>
            </w:r>
            <w:r w:rsidR="008705A9" w:rsidRPr="00E57C84">
              <w:rPr>
                <w:rFonts w:cstheme="minorHAnsi"/>
                <w:sz w:val="24"/>
                <w:szCs w:val="24"/>
              </w:rPr>
              <w:t>appoin</w:t>
            </w:r>
            <w:r w:rsidR="008705A9">
              <w:rPr>
                <w:rFonts w:cstheme="minorHAnsi"/>
                <w:sz w:val="24"/>
                <w:szCs w:val="24"/>
              </w:rPr>
              <w:t>ted</w:t>
            </w:r>
            <w:r w:rsidR="008705A9" w:rsidRPr="00E57C84">
              <w:rPr>
                <w:rFonts w:cstheme="minorHAnsi"/>
                <w:sz w:val="24"/>
                <w:szCs w:val="24"/>
              </w:rPr>
              <w:t xml:space="preserve"> </w:t>
            </w:r>
            <w:r w:rsidRPr="00E57C84">
              <w:rPr>
                <w:rFonts w:cstheme="minorHAnsi"/>
                <w:sz w:val="24"/>
                <w:szCs w:val="24"/>
              </w:rPr>
              <w:t xml:space="preserve">a new Board member with the necessary skills and experience to chair </w:t>
            </w:r>
            <w:r w:rsidR="00551A6B">
              <w:rPr>
                <w:rFonts w:cstheme="minorHAnsi"/>
                <w:sz w:val="24"/>
                <w:szCs w:val="24"/>
              </w:rPr>
              <w:t>its newly formed ESG Committee</w:t>
            </w:r>
            <w:r w:rsidR="00575452">
              <w:rPr>
                <w:rFonts w:cstheme="minorHAnsi"/>
                <w:sz w:val="24"/>
                <w:szCs w:val="24"/>
              </w:rPr>
              <w:t xml:space="preserve"> and, in 2023, appointed a </w:t>
            </w:r>
            <w:r w:rsidR="0099799A">
              <w:rPr>
                <w:rFonts w:cstheme="minorHAnsi"/>
                <w:sz w:val="24"/>
                <w:szCs w:val="24"/>
              </w:rPr>
              <w:t xml:space="preserve">professional with </w:t>
            </w:r>
            <w:r w:rsidR="00BA52AC">
              <w:rPr>
                <w:rFonts w:cstheme="minorHAnsi"/>
                <w:sz w:val="24"/>
                <w:szCs w:val="24"/>
              </w:rPr>
              <w:t>a background and skills</w:t>
            </w:r>
            <w:r w:rsidR="0099799A">
              <w:rPr>
                <w:rFonts w:cstheme="minorHAnsi"/>
                <w:sz w:val="24"/>
                <w:szCs w:val="24"/>
              </w:rPr>
              <w:t xml:space="preserve"> in ESG to be its new Head of ESG</w:t>
            </w:r>
            <w:r w:rsidRPr="00E57C84">
              <w:rPr>
                <w:rFonts w:cstheme="minorHAnsi"/>
                <w:sz w:val="24"/>
                <w:szCs w:val="24"/>
              </w:rPr>
              <w:t>.</w:t>
            </w:r>
            <w:r w:rsidR="007720F3">
              <w:rPr>
                <w:rFonts w:cstheme="minorHAnsi"/>
                <w:sz w:val="24"/>
                <w:szCs w:val="24"/>
              </w:rPr>
              <w:t xml:space="preserve">  ESG performance metrics are included </w:t>
            </w:r>
            <w:r w:rsidR="00E661E0">
              <w:rPr>
                <w:rFonts w:cstheme="minorHAnsi"/>
                <w:sz w:val="24"/>
                <w:szCs w:val="24"/>
              </w:rPr>
              <w:t>as key performance indicators when calculating executive’s bonuses</w:t>
            </w:r>
            <w:r w:rsidR="007F15D7">
              <w:rPr>
                <w:rFonts w:cstheme="minorHAnsi"/>
                <w:sz w:val="24"/>
                <w:szCs w:val="24"/>
              </w:rPr>
              <w:t xml:space="preserve">, </w:t>
            </w:r>
            <w:r w:rsidR="007F15D7">
              <w:rPr>
                <w:rFonts w:cstheme="minorHAnsi"/>
                <w:sz w:val="24"/>
                <w:szCs w:val="24"/>
              </w:rPr>
              <w:lastRenderedPageBreak/>
              <w:t xml:space="preserve">and include </w:t>
            </w:r>
            <w:r w:rsidR="00320E79">
              <w:rPr>
                <w:rFonts w:cstheme="minorHAnsi"/>
                <w:sz w:val="24"/>
                <w:szCs w:val="24"/>
              </w:rPr>
              <w:t xml:space="preserve">safety performance, water efficiency, </w:t>
            </w:r>
            <w:r w:rsidR="00EF56DB">
              <w:rPr>
                <w:rFonts w:cstheme="minorHAnsi"/>
                <w:sz w:val="24"/>
                <w:szCs w:val="24"/>
              </w:rPr>
              <w:t xml:space="preserve">and impact in the local community through </w:t>
            </w:r>
            <w:r w:rsidR="00320E79">
              <w:rPr>
                <w:rFonts w:cstheme="minorHAnsi"/>
                <w:sz w:val="24"/>
                <w:szCs w:val="24"/>
              </w:rPr>
              <w:t xml:space="preserve">increasing </w:t>
            </w:r>
            <w:r w:rsidR="00CE19F9">
              <w:rPr>
                <w:rFonts w:cstheme="minorHAnsi"/>
                <w:sz w:val="24"/>
                <w:szCs w:val="24"/>
              </w:rPr>
              <w:t>school</w:t>
            </w:r>
            <w:r w:rsidR="00320E79">
              <w:rPr>
                <w:rFonts w:cstheme="minorHAnsi"/>
                <w:sz w:val="24"/>
                <w:szCs w:val="24"/>
              </w:rPr>
              <w:t xml:space="preserve"> </w:t>
            </w:r>
            <w:r w:rsidR="00EF56DB">
              <w:rPr>
                <w:rFonts w:cstheme="minorHAnsi"/>
                <w:sz w:val="24"/>
                <w:szCs w:val="24"/>
              </w:rPr>
              <w:t xml:space="preserve">and health </w:t>
            </w:r>
            <w:r w:rsidR="00CE19F9">
              <w:rPr>
                <w:rFonts w:cstheme="minorHAnsi"/>
                <w:sz w:val="24"/>
                <w:szCs w:val="24"/>
              </w:rPr>
              <w:t>clinic attendances</w:t>
            </w:r>
            <w:r w:rsidR="00E661E0">
              <w:rPr>
                <w:rFonts w:cstheme="minorHAnsi"/>
                <w:sz w:val="24"/>
                <w:szCs w:val="24"/>
              </w:rPr>
              <w:t>.</w:t>
            </w:r>
          </w:p>
          <w:p w14:paraId="79F5CE29" w14:textId="77777777" w:rsidR="00E149B3" w:rsidRDefault="00E149B3" w:rsidP="00570886">
            <w:pPr>
              <w:rPr>
                <w:rFonts w:cstheme="minorHAnsi"/>
                <w:sz w:val="24"/>
                <w:szCs w:val="24"/>
              </w:rPr>
            </w:pPr>
          </w:p>
          <w:p w14:paraId="6787B1B8" w14:textId="3CB7DAF5" w:rsidR="00FB7515" w:rsidRPr="00E57C84" w:rsidRDefault="00FB7515" w:rsidP="00570886">
            <w:pPr>
              <w:rPr>
                <w:rFonts w:cstheme="minorHAnsi"/>
                <w:sz w:val="24"/>
                <w:szCs w:val="24"/>
              </w:rPr>
            </w:pPr>
            <w:r w:rsidRPr="00FB7515">
              <w:rPr>
                <w:rFonts w:cstheme="minorHAnsi"/>
                <w:sz w:val="24"/>
                <w:szCs w:val="24"/>
              </w:rPr>
              <w:t xml:space="preserve">Caledonia’s VP Corporate Development and Investor Relations and VP Communications are, together with executive management and the Board more generally, responsible for stakeholder engagement and can be contacted at </w:t>
            </w:r>
            <w:hyperlink r:id="rId20" w:history="1">
              <w:r w:rsidRPr="00EE6A4A">
                <w:rPr>
                  <w:rStyle w:val="Hyperlink"/>
                  <w:rFonts w:cstheme="minorHAnsi"/>
                  <w:sz w:val="24"/>
                  <w:szCs w:val="24"/>
                </w:rPr>
                <w:t>mauricemason@caledoniamining.com</w:t>
              </w:r>
            </w:hyperlink>
            <w:r>
              <w:rPr>
                <w:rFonts w:cstheme="minorHAnsi"/>
                <w:sz w:val="24"/>
                <w:szCs w:val="24"/>
              </w:rPr>
              <w:t xml:space="preserve"> </w:t>
            </w:r>
            <w:r w:rsidRPr="00FB7515">
              <w:rPr>
                <w:rFonts w:cstheme="minorHAnsi"/>
                <w:sz w:val="24"/>
                <w:szCs w:val="24"/>
              </w:rPr>
              <w:t xml:space="preserve">and </w:t>
            </w:r>
            <w:hyperlink r:id="rId21" w:history="1">
              <w:r w:rsidR="00A859CE" w:rsidRPr="00EE6A4A">
                <w:rPr>
                  <w:rStyle w:val="Hyperlink"/>
                  <w:rFonts w:cstheme="minorHAnsi"/>
                  <w:sz w:val="24"/>
                  <w:szCs w:val="24"/>
                </w:rPr>
                <w:t>camillahorsfall@caledoniamining.com</w:t>
              </w:r>
            </w:hyperlink>
            <w:r>
              <w:rPr>
                <w:rFonts w:cstheme="minorHAnsi"/>
                <w:sz w:val="24"/>
                <w:szCs w:val="24"/>
              </w:rPr>
              <w:t xml:space="preserve"> </w:t>
            </w:r>
            <w:r w:rsidRPr="00FB7515">
              <w:rPr>
                <w:rFonts w:cstheme="minorHAnsi"/>
                <w:sz w:val="24"/>
                <w:szCs w:val="24"/>
              </w:rPr>
              <w:t>respectively.</w:t>
            </w:r>
          </w:p>
        </w:tc>
      </w:tr>
      <w:tr w:rsidR="00800362" w:rsidRPr="00E57C84" w14:paraId="67A759C5" w14:textId="77777777" w:rsidTr="00221CE9">
        <w:tc>
          <w:tcPr>
            <w:tcW w:w="562" w:type="dxa"/>
          </w:tcPr>
          <w:p w14:paraId="16F39431" w14:textId="77777777" w:rsidR="008818B1" w:rsidRPr="00E57C84" w:rsidRDefault="008818B1" w:rsidP="008818B1">
            <w:pPr>
              <w:pStyle w:val="ListParagraph"/>
              <w:numPr>
                <w:ilvl w:val="0"/>
                <w:numId w:val="1"/>
              </w:numPr>
              <w:ind w:left="306" w:hanging="284"/>
              <w:rPr>
                <w:rFonts w:cstheme="minorHAnsi"/>
                <w:color w:val="000000"/>
                <w:sz w:val="24"/>
                <w:szCs w:val="24"/>
              </w:rPr>
            </w:pPr>
          </w:p>
        </w:tc>
        <w:tc>
          <w:tcPr>
            <w:tcW w:w="2977" w:type="dxa"/>
          </w:tcPr>
          <w:p w14:paraId="02F213C3" w14:textId="28A297AB" w:rsidR="008818B1" w:rsidRPr="00E57C84" w:rsidRDefault="008818B1" w:rsidP="008818B1">
            <w:pPr>
              <w:rPr>
                <w:rFonts w:cstheme="minorHAnsi"/>
                <w:sz w:val="24"/>
                <w:szCs w:val="24"/>
              </w:rPr>
            </w:pPr>
            <w:r w:rsidRPr="00E57C84">
              <w:rPr>
                <w:rFonts w:cstheme="minorHAnsi"/>
                <w:color w:val="000000"/>
                <w:sz w:val="24"/>
                <w:szCs w:val="24"/>
              </w:rPr>
              <w:t>Embed effective risk management,</w:t>
            </w:r>
            <w:r w:rsidR="00474280" w:rsidRPr="00474280">
              <w:rPr>
                <w:rFonts w:cstheme="minorHAnsi"/>
                <w:color w:val="000000"/>
                <w:sz w:val="24"/>
                <w:szCs w:val="24"/>
              </w:rPr>
              <w:t xml:space="preserve"> internal controls and assurance activities, </w:t>
            </w:r>
            <w:r w:rsidRPr="00E57C84">
              <w:rPr>
                <w:rFonts w:cstheme="minorHAnsi"/>
                <w:color w:val="000000"/>
                <w:sz w:val="24"/>
                <w:szCs w:val="24"/>
              </w:rPr>
              <w:t>considering both opportunities and threats, throughout the organisation</w:t>
            </w:r>
          </w:p>
        </w:tc>
        <w:tc>
          <w:tcPr>
            <w:tcW w:w="10490" w:type="dxa"/>
          </w:tcPr>
          <w:p w14:paraId="1AA1E12A" w14:textId="7D981139" w:rsidR="00674B17" w:rsidRPr="00BB0453" w:rsidRDefault="001A69BA" w:rsidP="00674B17">
            <w:pPr>
              <w:rPr>
                <w:rFonts w:cstheme="minorHAnsi"/>
                <w:sz w:val="24"/>
                <w:szCs w:val="24"/>
              </w:rPr>
            </w:pPr>
            <w:r w:rsidRPr="00BB0453">
              <w:rPr>
                <w:rFonts w:cstheme="minorHAnsi"/>
                <w:sz w:val="24"/>
                <w:szCs w:val="24"/>
              </w:rPr>
              <w:t xml:space="preserve">Caledonia’s risk appetite statement </w:t>
            </w:r>
            <w:r w:rsidR="00BB0453" w:rsidRPr="00BB0453">
              <w:rPr>
                <w:rFonts w:cstheme="minorHAnsi"/>
                <w:sz w:val="24"/>
                <w:szCs w:val="24"/>
              </w:rPr>
              <w:t>can be found in the Appendix below.</w:t>
            </w:r>
            <w:r w:rsidRPr="00BB0453">
              <w:rPr>
                <w:rFonts w:cstheme="minorHAnsi"/>
                <w:sz w:val="24"/>
                <w:szCs w:val="24"/>
              </w:rPr>
              <w:t xml:space="preserve"> </w:t>
            </w:r>
          </w:p>
          <w:p w14:paraId="362C0C45" w14:textId="77777777" w:rsidR="00674B17" w:rsidRPr="00BB0453" w:rsidRDefault="00674B17" w:rsidP="00674B17">
            <w:pPr>
              <w:rPr>
                <w:rFonts w:cstheme="minorHAnsi"/>
                <w:sz w:val="24"/>
                <w:szCs w:val="24"/>
              </w:rPr>
            </w:pPr>
          </w:p>
          <w:p w14:paraId="364137C3" w14:textId="6160DF1D" w:rsidR="00976B88" w:rsidRPr="00E57C84" w:rsidRDefault="00C65E57" w:rsidP="00C65E57">
            <w:pPr>
              <w:rPr>
                <w:rFonts w:cstheme="minorHAnsi"/>
                <w:sz w:val="24"/>
                <w:szCs w:val="24"/>
              </w:rPr>
            </w:pPr>
            <w:r w:rsidRPr="00E57C84">
              <w:rPr>
                <w:rFonts w:cstheme="minorHAnsi"/>
                <w:sz w:val="24"/>
                <w:szCs w:val="24"/>
              </w:rPr>
              <w:t xml:space="preserve">The </w:t>
            </w:r>
            <w:r w:rsidR="00E43A16" w:rsidRPr="00E57C84">
              <w:rPr>
                <w:rFonts w:cstheme="minorHAnsi"/>
                <w:sz w:val="24"/>
                <w:szCs w:val="24"/>
              </w:rPr>
              <w:t xml:space="preserve">Board has ultimate responsibility for risk management and </w:t>
            </w:r>
            <w:r w:rsidR="00976B88" w:rsidRPr="00E57C84">
              <w:rPr>
                <w:rFonts w:cstheme="minorHAnsi"/>
                <w:sz w:val="24"/>
                <w:szCs w:val="24"/>
              </w:rPr>
              <w:t>its</w:t>
            </w:r>
            <w:r w:rsidR="00E43A16" w:rsidRPr="00E57C84">
              <w:rPr>
                <w:rFonts w:cstheme="minorHAnsi"/>
                <w:sz w:val="24"/>
                <w:szCs w:val="24"/>
              </w:rPr>
              <w:t xml:space="preserve"> </w:t>
            </w:r>
            <w:r w:rsidR="00A71FF7" w:rsidRPr="00E57C84">
              <w:rPr>
                <w:rFonts w:cstheme="minorHAnsi"/>
                <w:sz w:val="24"/>
                <w:szCs w:val="24"/>
              </w:rPr>
              <w:t xml:space="preserve">Committees </w:t>
            </w:r>
            <w:r w:rsidR="00E43A16" w:rsidRPr="00E57C84">
              <w:rPr>
                <w:rFonts w:cstheme="minorHAnsi"/>
                <w:sz w:val="24"/>
                <w:szCs w:val="24"/>
              </w:rPr>
              <w:t xml:space="preserve">assist it in </w:t>
            </w:r>
            <w:r w:rsidRPr="00E57C84">
              <w:rPr>
                <w:rFonts w:cstheme="minorHAnsi"/>
                <w:sz w:val="24"/>
                <w:szCs w:val="24"/>
              </w:rPr>
              <w:t xml:space="preserve">its continuous assessment and management of potential risks to the Company. </w:t>
            </w:r>
            <w:r w:rsidR="00E43A16" w:rsidRPr="00E57C84">
              <w:rPr>
                <w:rFonts w:cstheme="minorHAnsi"/>
                <w:sz w:val="24"/>
                <w:szCs w:val="24"/>
              </w:rPr>
              <w:t xml:space="preserve">  </w:t>
            </w:r>
          </w:p>
          <w:p w14:paraId="0129AF88" w14:textId="12AB034B" w:rsidR="00976B88" w:rsidRPr="00E57C84" w:rsidRDefault="00976B88" w:rsidP="00C65E57">
            <w:pPr>
              <w:rPr>
                <w:rFonts w:cstheme="minorHAnsi"/>
                <w:sz w:val="24"/>
                <w:szCs w:val="24"/>
              </w:rPr>
            </w:pPr>
          </w:p>
          <w:p w14:paraId="0C0A81B8" w14:textId="692646A9" w:rsidR="0077560C" w:rsidRPr="00E57C84" w:rsidRDefault="0077560C" w:rsidP="0077560C">
            <w:pPr>
              <w:rPr>
                <w:rFonts w:cstheme="minorHAnsi"/>
                <w:sz w:val="24"/>
                <w:szCs w:val="24"/>
              </w:rPr>
            </w:pPr>
            <w:r w:rsidRPr="00E57C84">
              <w:rPr>
                <w:rFonts w:cstheme="minorHAnsi"/>
                <w:sz w:val="24"/>
                <w:szCs w:val="24"/>
              </w:rPr>
              <w:t>In conjunction with risk management</w:t>
            </w:r>
            <w:r w:rsidR="00B21FD1" w:rsidRPr="00E57C84">
              <w:rPr>
                <w:rFonts w:cstheme="minorHAnsi"/>
                <w:sz w:val="24"/>
                <w:szCs w:val="24"/>
              </w:rPr>
              <w:t xml:space="preserve"> and in addition to its other duties</w:t>
            </w:r>
            <w:r w:rsidRPr="00E57C84">
              <w:rPr>
                <w:rFonts w:cstheme="minorHAnsi"/>
                <w:sz w:val="24"/>
                <w:szCs w:val="24"/>
              </w:rPr>
              <w:t>, the Audit Committee is tasked with providing an open avenue of communication between management, the Company’s independent auditors and the Board to assist the Board in its oversight of:</w:t>
            </w:r>
          </w:p>
          <w:p w14:paraId="0A1F2C64" w14:textId="77777777" w:rsidR="0077560C" w:rsidRPr="00E57C84" w:rsidRDefault="0077560C" w:rsidP="0077560C">
            <w:pPr>
              <w:rPr>
                <w:rFonts w:cstheme="minorHAnsi"/>
                <w:sz w:val="24"/>
                <w:szCs w:val="24"/>
              </w:rPr>
            </w:pPr>
          </w:p>
          <w:p w14:paraId="68F6A2CF" w14:textId="5386C723" w:rsidR="0077560C" w:rsidRDefault="0077560C" w:rsidP="00B21FD1">
            <w:pPr>
              <w:pStyle w:val="ListParagraph"/>
              <w:numPr>
                <w:ilvl w:val="0"/>
                <w:numId w:val="2"/>
              </w:numPr>
              <w:ind w:left="597" w:hanging="567"/>
              <w:rPr>
                <w:rFonts w:cstheme="minorHAnsi"/>
                <w:sz w:val="24"/>
                <w:szCs w:val="24"/>
              </w:rPr>
            </w:pPr>
            <w:r w:rsidRPr="00E57C84">
              <w:rPr>
                <w:rFonts w:cstheme="minorHAnsi"/>
                <w:sz w:val="24"/>
                <w:szCs w:val="24"/>
              </w:rPr>
              <w:t>processes for identifying the principal financial risks of Caledonia and the control systems in place to monitor them;</w:t>
            </w:r>
          </w:p>
          <w:p w14:paraId="74926845" w14:textId="77777777" w:rsidR="00A71FF7" w:rsidRPr="00E57C84" w:rsidRDefault="00A71FF7" w:rsidP="00A71FF7">
            <w:pPr>
              <w:pStyle w:val="ListParagraph"/>
              <w:ind w:left="597"/>
              <w:rPr>
                <w:rFonts w:cstheme="minorHAnsi"/>
                <w:sz w:val="24"/>
                <w:szCs w:val="24"/>
              </w:rPr>
            </w:pPr>
          </w:p>
          <w:p w14:paraId="58D0DF07" w14:textId="2FB7281D" w:rsidR="0077560C" w:rsidRDefault="0077560C" w:rsidP="00B21FD1">
            <w:pPr>
              <w:pStyle w:val="ListParagraph"/>
              <w:numPr>
                <w:ilvl w:val="0"/>
                <w:numId w:val="2"/>
              </w:numPr>
              <w:ind w:left="597" w:hanging="567"/>
              <w:rPr>
                <w:rFonts w:cstheme="minorHAnsi"/>
                <w:sz w:val="24"/>
                <w:szCs w:val="24"/>
              </w:rPr>
            </w:pPr>
            <w:r w:rsidRPr="00E57C84">
              <w:rPr>
                <w:rFonts w:cstheme="minorHAnsi"/>
                <w:sz w:val="24"/>
                <w:szCs w:val="24"/>
              </w:rPr>
              <w:t>enterprise risk management;</w:t>
            </w:r>
            <w:r w:rsidR="00B21FD1" w:rsidRPr="00E57C84">
              <w:rPr>
                <w:rFonts w:cstheme="minorHAnsi"/>
                <w:sz w:val="24"/>
                <w:szCs w:val="24"/>
              </w:rPr>
              <w:t xml:space="preserve"> and</w:t>
            </w:r>
          </w:p>
          <w:p w14:paraId="208A9C8E" w14:textId="77777777" w:rsidR="00A71FF7" w:rsidRPr="00A71FF7" w:rsidRDefault="00A71FF7" w:rsidP="00A71FF7">
            <w:pPr>
              <w:rPr>
                <w:rFonts w:cstheme="minorHAnsi"/>
                <w:sz w:val="24"/>
                <w:szCs w:val="24"/>
              </w:rPr>
            </w:pPr>
          </w:p>
          <w:p w14:paraId="503BEE4A" w14:textId="0C58DD83" w:rsidR="0077560C" w:rsidRPr="00E57C84" w:rsidRDefault="0077560C" w:rsidP="00B21FD1">
            <w:pPr>
              <w:pStyle w:val="ListParagraph"/>
              <w:numPr>
                <w:ilvl w:val="0"/>
                <w:numId w:val="2"/>
              </w:numPr>
              <w:ind w:left="597" w:hanging="567"/>
              <w:rPr>
                <w:rFonts w:cstheme="minorHAnsi"/>
                <w:sz w:val="24"/>
                <w:szCs w:val="24"/>
              </w:rPr>
            </w:pPr>
            <w:r w:rsidRPr="00E57C84">
              <w:rPr>
                <w:rFonts w:cstheme="minorHAnsi"/>
                <w:sz w:val="24"/>
                <w:szCs w:val="24"/>
              </w:rPr>
              <w:t>risks related to financial reporting</w:t>
            </w:r>
            <w:r w:rsidR="00B21FD1" w:rsidRPr="00E57C84">
              <w:rPr>
                <w:rFonts w:cstheme="minorHAnsi"/>
                <w:sz w:val="24"/>
                <w:szCs w:val="24"/>
              </w:rPr>
              <w:t>,</w:t>
            </w:r>
          </w:p>
          <w:p w14:paraId="26317F9A" w14:textId="77777777" w:rsidR="0077560C" w:rsidRPr="00E57C84" w:rsidRDefault="0077560C" w:rsidP="00B21FD1">
            <w:pPr>
              <w:rPr>
                <w:rFonts w:cstheme="minorHAnsi"/>
                <w:sz w:val="24"/>
                <w:szCs w:val="24"/>
              </w:rPr>
            </w:pPr>
          </w:p>
          <w:p w14:paraId="53F8EDF1" w14:textId="3C14ECDC" w:rsidR="0077560C" w:rsidRDefault="0077560C" w:rsidP="00B21FD1">
            <w:pPr>
              <w:rPr>
                <w:rFonts w:cstheme="minorHAnsi"/>
                <w:sz w:val="24"/>
                <w:szCs w:val="24"/>
              </w:rPr>
            </w:pPr>
            <w:r w:rsidRPr="00E57C84">
              <w:rPr>
                <w:rFonts w:cstheme="minorHAnsi"/>
                <w:sz w:val="24"/>
                <w:szCs w:val="24"/>
              </w:rPr>
              <w:t>as well as making regular enquiries of management and internal and independent auditors to identify significant business, political, financial and control risks and exposures and to assess the steps management has taken to minimise such risks.</w:t>
            </w:r>
            <w:r w:rsidR="000261AD">
              <w:rPr>
                <w:rFonts w:cstheme="minorHAnsi"/>
                <w:sz w:val="24"/>
                <w:szCs w:val="24"/>
              </w:rPr>
              <w:t xml:space="preserve">  The Audit Committee considers the independence </w:t>
            </w:r>
            <w:r w:rsidR="00BA5A0C">
              <w:rPr>
                <w:rFonts w:cstheme="minorHAnsi"/>
                <w:sz w:val="24"/>
                <w:szCs w:val="24"/>
              </w:rPr>
              <w:t xml:space="preserve">and competence </w:t>
            </w:r>
            <w:r w:rsidR="000261AD">
              <w:rPr>
                <w:rFonts w:cstheme="minorHAnsi"/>
                <w:sz w:val="24"/>
                <w:szCs w:val="24"/>
              </w:rPr>
              <w:t xml:space="preserve">of the external auditors </w:t>
            </w:r>
            <w:r w:rsidR="00A91D59">
              <w:rPr>
                <w:rFonts w:cstheme="minorHAnsi"/>
                <w:sz w:val="24"/>
                <w:szCs w:val="24"/>
              </w:rPr>
              <w:t>during the reporting cycle</w:t>
            </w:r>
            <w:r w:rsidR="00A24815">
              <w:rPr>
                <w:rFonts w:cstheme="minorHAnsi"/>
                <w:sz w:val="24"/>
                <w:szCs w:val="24"/>
              </w:rPr>
              <w:t>.</w:t>
            </w:r>
          </w:p>
          <w:p w14:paraId="412D7C97" w14:textId="77777777" w:rsidR="00C63081" w:rsidRPr="00E57C84" w:rsidRDefault="00C63081" w:rsidP="00B21FD1">
            <w:pPr>
              <w:rPr>
                <w:rFonts w:cstheme="minorHAnsi"/>
                <w:sz w:val="24"/>
                <w:szCs w:val="24"/>
              </w:rPr>
            </w:pPr>
          </w:p>
          <w:p w14:paraId="576A3A2C" w14:textId="77777777" w:rsidR="00C63081" w:rsidRPr="00E57C84" w:rsidRDefault="00C63081" w:rsidP="00C63081">
            <w:pPr>
              <w:rPr>
                <w:rFonts w:cstheme="minorHAnsi"/>
                <w:sz w:val="24"/>
                <w:szCs w:val="24"/>
              </w:rPr>
            </w:pPr>
            <w:r>
              <w:rPr>
                <w:rFonts w:cstheme="minorHAnsi"/>
                <w:sz w:val="24"/>
                <w:szCs w:val="24"/>
              </w:rPr>
              <w:t xml:space="preserve">For a list and explanation of the key risks facing the group and how those risks are mitigated, refer to Item 3D in the Company’s most recent Annual Report on Form 20-F, a copy of which can be found </w:t>
            </w:r>
            <w:hyperlink r:id="rId22" w:history="1">
              <w:r w:rsidRPr="00B63169">
                <w:rPr>
                  <w:rStyle w:val="Hyperlink"/>
                  <w:rFonts w:cstheme="minorHAnsi"/>
                  <w:sz w:val="24"/>
                  <w:szCs w:val="24"/>
                </w:rPr>
                <w:t>here</w:t>
              </w:r>
            </w:hyperlink>
            <w:r>
              <w:rPr>
                <w:rFonts w:cstheme="minorHAnsi"/>
                <w:sz w:val="24"/>
                <w:szCs w:val="24"/>
              </w:rPr>
              <w:t>.</w:t>
            </w:r>
          </w:p>
          <w:p w14:paraId="603C8015" w14:textId="77777777" w:rsidR="0077560C" w:rsidRPr="00E57C84" w:rsidRDefault="0077560C" w:rsidP="00C65E57">
            <w:pPr>
              <w:rPr>
                <w:rFonts w:cstheme="minorHAnsi"/>
                <w:sz w:val="24"/>
                <w:szCs w:val="24"/>
              </w:rPr>
            </w:pPr>
          </w:p>
          <w:p w14:paraId="03840312" w14:textId="79EC7220" w:rsidR="00B21FD1" w:rsidRDefault="00B21FD1" w:rsidP="00C65E57">
            <w:pPr>
              <w:rPr>
                <w:rFonts w:cstheme="minorHAnsi"/>
                <w:sz w:val="24"/>
                <w:szCs w:val="24"/>
              </w:rPr>
            </w:pPr>
            <w:r w:rsidRPr="00E57C84">
              <w:rPr>
                <w:rFonts w:cstheme="minorHAnsi"/>
                <w:sz w:val="24"/>
                <w:szCs w:val="24"/>
              </w:rPr>
              <w:t>T</w:t>
            </w:r>
            <w:r w:rsidR="00E43A16" w:rsidRPr="00E57C84">
              <w:rPr>
                <w:rFonts w:cstheme="minorHAnsi"/>
                <w:sz w:val="24"/>
                <w:szCs w:val="24"/>
              </w:rPr>
              <w:t>he risk management sub-committee</w:t>
            </w:r>
            <w:r w:rsidRPr="00E57C84">
              <w:rPr>
                <w:rFonts w:cstheme="minorHAnsi"/>
                <w:sz w:val="24"/>
                <w:szCs w:val="24"/>
              </w:rPr>
              <w:t xml:space="preserve"> of the Audit Committee</w:t>
            </w:r>
            <w:r w:rsidR="00976B88" w:rsidRPr="00E57C84">
              <w:rPr>
                <w:rFonts w:cstheme="minorHAnsi"/>
                <w:sz w:val="24"/>
                <w:szCs w:val="24"/>
              </w:rPr>
              <w:t xml:space="preserve"> </w:t>
            </w:r>
            <w:r w:rsidRPr="00E57C84">
              <w:rPr>
                <w:rFonts w:cstheme="minorHAnsi"/>
                <w:sz w:val="24"/>
                <w:szCs w:val="24"/>
              </w:rPr>
              <w:t xml:space="preserve">assists the Committee in its role by </w:t>
            </w:r>
            <w:r w:rsidR="00E43A16" w:rsidRPr="00E57C84">
              <w:rPr>
                <w:rFonts w:cstheme="minorHAnsi"/>
                <w:sz w:val="24"/>
                <w:szCs w:val="24"/>
              </w:rPr>
              <w:t>report</w:t>
            </w:r>
            <w:r w:rsidRPr="00E57C84">
              <w:rPr>
                <w:rFonts w:cstheme="minorHAnsi"/>
                <w:sz w:val="24"/>
                <w:szCs w:val="24"/>
              </w:rPr>
              <w:t xml:space="preserve">ing </w:t>
            </w:r>
            <w:r w:rsidR="00E43A16" w:rsidRPr="00E57C84">
              <w:rPr>
                <w:rFonts w:cstheme="minorHAnsi"/>
                <w:sz w:val="24"/>
                <w:szCs w:val="24"/>
              </w:rPr>
              <w:t xml:space="preserve">on a quarterly basis to the Audit Committee </w:t>
            </w:r>
            <w:r w:rsidR="00A71FF7">
              <w:rPr>
                <w:rFonts w:cstheme="minorHAnsi"/>
                <w:sz w:val="24"/>
                <w:szCs w:val="24"/>
              </w:rPr>
              <w:t>management’s</w:t>
            </w:r>
            <w:r w:rsidR="00E43A16" w:rsidRPr="00E57C84">
              <w:rPr>
                <w:rFonts w:cstheme="minorHAnsi"/>
                <w:sz w:val="24"/>
                <w:szCs w:val="24"/>
              </w:rPr>
              <w:t xml:space="preserve"> assessment of the risks to the business</w:t>
            </w:r>
            <w:r w:rsidR="00934311">
              <w:rPr>
                <w:rFonts w:cstheme="minorHAnsi"/>
                <w:sz w:val="24"/>
                <w:szCs w:val="24"/>
              </w:rPr>
              <w:t xml:space="preserve"> </w:t>
            </w:r>
            <w:r w:rsidR="00F2031A">
              <w:rPr>
                <w:rFonts w:cstheme="minorHAnsi"/>
                <w:sz w:val="24"/>
                <w:szCs w:val="24"/>
              </w:rPr>
              <w:t>(</w:t>
            </w:r>
            <w:r w:rsidR="00934311">
              <w:rPr>
                <w:rFonts w:cstheme="minorHAnsi"/>
                <w:sz w:val="24"/>
                <w:szCs w:val="24"/>
              </w:rPr>
              <w:t>including climate-related risks</w:t>
            </w:r>
            <w:r w:rsidR="00F2031A">
              <w:rPr>
                <w:rFonts w:cstheme="minorHAnsi"/>
                <w:sz w:val="24"/>
                <w:szCs w:val="24"/>
              </w:rPr>
              <w:t>)</w:t>
            </w:r>
            <w:r w:rsidR="00976B88" w:rsidRPr="00E57C84">
              <w:rPr>
                <w:rFonts w:cstheme="minorHAnsi"/>
                <w:sz w:val="24"/>
                <w:szCs w:val="24"/>
              </w:rPr>
              <w:t xml:space="preserve"> taking into account their impact and likelihood</w:t>
            </w:r>
            <w:r w:rsidR="00E43A16" w:rsidRPr="00E57C84">
              <w:rPr>
                <w:rFonts w:cstheme="minorHAnsi"/>
                <w:sz w:val="24"/>
                <w:szCs w:val="24"/>
              </w:rPr>
              <w:t xml:space="preserve">, the </w:t>
            </w:r>
            <w:r w:rsidR="00976B88" w:rsidRPr="00E57C84">
              <w:rPr>
                <w:rFonts w:cstheme="minorHAnsi"/>
                <w:sz w:val="24"/>
                <w:szCs w:val="24"/>
              </w:rPr>
              <w:t>management</w:t>
            </w:r>
            <w:r w:rsidR="00E43A16" w:rsidRPr="00E57C84">
              <w:rPr>
                <w:rFonts w:cstheme="minorHAnsi"/>
                <w:sz w:val="24"/>
                <w:szCs w:val="24"/>
              </w:rPr>
              <w:t xml:space="preserve"> of those risks</w:t>
            </w:r>
            <w:r w:rsidR="00976B88" w:rsidRPr="00E57C84">
              <w:rPr>
                <w:rFonts w:cstheme="minorHAnsi"/>
                <w:sz w:val="24"/>
                <w:szCs w:val="24"/>
              </w:rPr>
              <w:t>,</w:t>
            </w:r>
            <w:r w:rsidR="00E43A16" w:rsidRPr="00E57C84">
              <w:rPr>
                <w:rFonts w:cstheme="minorHAnsi"/>
                <w:sz w:val="24"/>
                <w:szCs w:val="24"/>
              </w:rPr>
              <w:t xml:space="preserve"> </w:t>
            </w:r>
            <w:r w:rsidR="00976B88" w:rsidRPr="00E57C84">
              <w:rPr>
                <w:rFonts w:cstheme="minorHAnsi"/>
                <w:sz w:val="24"/>
                <w:szCs w:val="24"/>
              </w:rPr>
              <w:t xml:space="preserve">mitigation and </w:t>
            </w:r>
            <w:r w:rsidRPr="00E57C84">
              <w:rPr>
                <w:rFonts w:cstheme="minorHAnsi"/>
                <w:sz w:val="24"/>
                <w:szCs w:val="24"/>
              </w:rPr>
              <w:t>how to properly communicate</w:t>
            </w:r>
            <w:r w:rsidR="00976B88" w:rsidRPr="00E57C84">
              <w:rPr>
                <w:rFonts w:cstheme="minorHAnsi"/>
                <w:sz w:val="24"/>
                <w:szCs w:val="24"/>
              </w:rPr>
              <w:t xml:space="preserve"> those risks</w:t>
            </w:r>
            <w:r w:rsidR="00E43A16" w:rsidRPr="00E57C84">
              <w:rPr>
                <w:rFonts w:cstheme="minorHAnsi"/>
                <w:sz w:val="24"/>
                <w:szCs w:val="24"/>
              </w:rPr>
              <w:t>.</w:t>
            </w:r>
            <w:r w:rsidR="00242666">
              <w:rPr>
                <w:rFonts w:cstheme="minorHAnsi"/>
                <w:sz w:val="24"/>
                <w:szCs w:val="24"/>
              </w:rPr>
              <w:t xml:space="preserve"> </w:t>
            </w:r>
            <w:r w:rsidR="00856AE0">
              <w:rPr>
                <w:rFonts w:cstheme="minorHAnsi"/>
                <w:sz w:val="24"/>
                <w:szCs w:val="24"/>
              </w:rPr>
              <w:t xml:space="preserve">Risk </w:t>
            </w:r>
            <w:r w:rsidR="00E86813">
              <w:rPr>
                <w:rFonts w:cstheme="minorHAnsi"/>
                <w:sz w:val="24"/>
                <w:szCs w:val="24"/>
              </w:rPr>
              <w:t xml:space="preserve">management has recently </w:t>
            </w:r>
            <w:r w:rsidR="00610CAF">
              <w:rPr>
                <w:rFonts w:cstheme="minorHAnsi"/>
                <w:sz w:val="24"/>
                <w:szCs w:val="24"/>
              </w:rPr>
              <w:t xml:space="preserve">been </w:t>
            </w:r>
            <w:r w:rsidR="00E86813">
              <w:rPr>
                <w:rFonts w:cstheme="minorHAnsi"/>
                <w:sz w:val="24"/>
                <w:szCs w:val="24"/>
              </w:rPr>
              <w:t>enhanced by expanded risk registers, baseline risk assessments and crisis management planning</w:t>
            </w:r>
            <w:r w:rsidR="00610CAF">
              <w:rPr>
                <w:rFonts w:cstheme="minorHAnsi"/>
                <w:sz w:val="24"/>
                <w:szCs w:val="24"/>
              </w:rPr>
              <w:t>.</w:t>
            </w:r>
          </w:p>
          <w:p w14:paraId="238D8A70" w14:textId="0804A00A" w:rsidR="00B055B4" w:rsidRDefault="00B055B4" w:rsidP="00C65E57">
            <w:pPr>
              <w:rPr>
                <w:rFonts w:cstheme="minorHAnsi"/>
                <w:sz w:val="24"/>
                <w:szCs w:val="24"/>
              </w:rPr>
            </w:pPr>
          </w:p>
          <w:p w14:paraId="1BECD4AB" w14:textId="0866B1B6" w:rsidR="008818B1" w:rsidRPr="00E57C84" w:rsidRDefault="00D14409" w:rsidP="00C63081">
            <w:pPr>
              <w:rPr>
                <w:rFonts w:cstheme="minorHAnsi"/>
                <w:sz w:val="24"/>
                <w:szCs w:val="24"/>
              </w:rPr>
            </w:pPr>
            <w:r>
              <w:rPr>
                <w:rFonts w:cstheme="minorHAnsi"/>
                <w:sz w:val="24"/>
                <w:szCs w:val="24"/>
              </w:rPr>
              <w:t>At the start of</w:t>
            </w:r>
            <w:r w:rsidR="00B055B4">
              <w:rPr>
                <w:rFonts w:cstheme="minorHAnsi"/>
                <w:sz w:val="24"/>
                <w:szCs w:val="24"/>
              </w:rPr>
              <w:t xml:space="preserve"> 2021, the Company </w:t>
            </w:r>
            <w:r>
              <w:rPr>
                <w:rFonts w:cstheme="minorHAnsi"/>
                <w:sz w:val="24"/>
                <w:szCs w:val="24"/>
              </w:rPr>
              <w:t xml:space="preserve">augmented its approach to risk by </w:t>
            </w:r>
            <w:r w:rsidR="00B055B4">
              <w:rPr>
                <w:rFonts w:cstheme="minorHAnsi"/>
                <w:sz w:val="24"/>
                <w:szCs w:val="24"/>
              </w:rPr>
              <w:t>appoint</w:t>
            </w:r>
            <w:r>
              <w:rPr>
                <w:rFonts w:cstheme="minorHAnsi"/>
                <w:sz w:val="24"/>
                <w:szCs w:val="24"/>
              </w:rPr>
              <w:t>ing</w:t>
            </w:r>
            <w:r w:rsidR="00B055B4">
              <w:rPr>
                <w:rFonts w:cstheme="minorHAnsi"/>
                <w:sz w:val="24"/>
                <w:szCs w:val="24"/>
              </w:rPr>
              <w:t xml:space="preserve"> an internal auditor </w:t>
            </w:r>
            <w:r w:rsidR="00C47CDE">
              <w:rPr>
                <w:rFonts w:cstheme="minorHAnsi"/>
                <w:sz w:val="24"/>
                <w:szCs w:val="24"/>
              </w:rPr>
              <w:t>whose</w:t>
            </w:r>
            <w:r w:rsidR="00C47CDE" w:rsidRPr="00C47CDE">
              <w:rPr>
                <w:rFonts w:cstheme="minorHAnsi"/>
                <w:sz w:val="24"/>
                <w:szCs w:val="24"/>
              </w:rPr>
              <w:t xml:space="preserve"> function </w:t>
            </w:r>
            <w:r w:rsidR="00C47CDE">
              <w:rPr>
                <w:rFonts w:cstheme="minorHAnsi"/>
                <w:sz w:val="24"/>
                <w:szCs w:val="24"/>
              </w:rPr>
              <w:t>is to</w:t>
            </w:r>
            <w:r w:rsidR="00C47CDE" w:rsidRPr="00C47CDE">
              <w:rPr>
                <w:rFonts w:cstheme="minorHAnsi"/>
                <w:sz w:val="24"/>
                <w:szCs w:val="24"/>
              </w:rPr>
              <w:t xml:space="preserve"> provide an independent and objective assurance service designed to improve the </w:t>
            </w:r>
            <w:r w:rsidR="00C47CDE">
              <w:rPr>
                <w:rFonts w:cstheme="minorHAnsi"/>
                <w:sz w:val="24"/>
                <w:szCs w:val="24"/>
              </w:rPr>
              <w:t>g</w:t>
            </w:r>
            <w:r w:rsidR="00C47CDE" w:rsidRPr="00C47CDE">
              <w:rPr>
                <w:rFonts w:cstheme="minorHAnsi"/>
                <w:sz w:val="24"/>
                <w:szCs w:val="24"/>
              </w:rPr>
              <w:t xml:space="preserve">roup’s internal control environment by evaluating and improving the effectiveness of control and governance processes within the </w:t>
            </w:r>
            <w:r w:rsidR="00C47CDE">
              <w:rPr>
                <w:rFonts w:cstheme="minorHAnsi"/>
                <w:sz w:val="24"/>
                <w:szCs w:val="24"/>
              </w:rPr>
              <w:t>group.</w:t>
            </w:r>
            <w:r w:rsidR="006A1994">
              <w:rPr>
                <w:rFonts w:cstheme="minorHAnsi"/>
                <w:sz w:val="24"/>
                <w:szCs w:val="24"/>
              </w:rPr>
              <w:t xml:space="preserve">  In </w:t>
            </w:r>
            <w:r w:rsidR="00931310">
              <w:rPr>
                <w:rFonts w:cstheme="minorHAnsi"/>
                <w:sz w:val="24"/>
                <w:szCs w:val="24"/>
              </w:rPr>
              <w:t>2025</w:t>
            </w:r>
            <w:r w:rsidR="006A1994">
              <w:rPr>
                <w:rFonts w:cstheme="minorHAnsi"/>
                <w:sz w:val="24"/>
                <w:szCs w:val="24"/>
              </w:rPr>
              <w:t xml:space="preserve">, </w:t>
            </w:r>
            <w:r w:rsidR="000C3F80">
              <w:rPr>
                <w:rFonts w:cstheme="minorHAnsi"/>
                <w:sz w:val="24"/>
                <w:szCs w:val="24"/>
              </w:rPr>
              <w:t xml:space="preserve">a </w:t>
            </w:r>
            <w:r w:rsidR="00C1540D">
              <w:rPr>
                <w:rFonts w:cstheme="minorHAnsi"/>
                <w:sz w:val="24"/>
                <w:szCs w:val="24"/>
              </w:rPr>
              <w:t>specialist</w:t>
            </w:r>
            <w:r w:rsidR="008411FE">
              <w:rPr>
                <w:rFonts w:cstheme="minorHAnsi"/>
                <w:sz w:val="24"/>
                <w:szCs w:val="24"/>
              </w:rPr>
              <w:t xml:space="preserve"> was recruited to </w:t>
            </w:r>
            <w:r w:rsidR="005B2A64">
              <w:rPr>
                <w:rFonts w:cstheme="minorHAnsi"/>
                <w:sz w:val="24"/>
                <w:szCs w:val="24"/>
              </w:rPr>
              <w:t>monitor</w:t>
            </w:r>
            <w:r w:rsidR="003B5ECA">
              <w:rPr>
                <w:rFonts w:cstheme="minorHAnsi"/>
                <w:sz w:val="24"/>
                <w:szCs w:val="24"/>
              </w:rPr>
              <w:t>, improve</w:t>
            </w:r>
            <w:r w:rsidR="005B2A64">
              <w:rPr>
                <w:rFonts w:cstheme="minorHAnsi"/>
                <w:sz w:val="24"/>
                <w:szCs w:val="24"/>
              </w:rPr>
              <w:t xml:space="preserve"> and </w:t>
            </w:r>
            <w:r w:rsidR="00FB6580">
              <w:rPr>
                <w:rFonts w:cstheme="minorHAnsi"/>
                <w:sz w:val="24"/>
                <w:szCs w:val="24"/>
              </w:rPr>
              <w:t xml:space="preserve">ensure compliance with the </w:t>
            </w:r>
            <w:r w:rsidR="008225F3">
              <w:rPr>
                <w:rFonts w:cstheme="minorHAnsi"/>
                <w:sz w:val="24"/>
                <w:szCs w:val="24"/>
              </w:rPr>
              <w:t xml:space="preserve">internal control </w:t>
            </w:r>
            <w:r w:rsidR="003B5ECA">
              <w:rPr>
                <w:rFonts w:cstheme="minorHAnsi"/>
                <w:sz w:val="24"/>
                <w:szCs w:val="24"/>
              </w:rPr>
              <w:t>environment</w:t>
            </w:r>
            <w:r w:rsidR="008225F3">
              <w:rPr>
                <w:rFonts w:cstheme="minorHAnsi"/>
                <w:sz w:val="24"/>
                <w:szCs w:val="24"/>
              </w:rPr>
              <w:t xml:space="preserve"> required by </w:t>
            </w:r>
            <w:r w:rsidR="007A44F9">
              <w:rPr>
                <w:rFonts w:cstheme="minorHAnsi"/>
                <w:sz w:val="24"/>
                <w:szCs w:val="24"/>
              </w:rPr>
              <w:t>the</w:t>
            </w:r>
            <w:r w:rsidR="007A44F9" w:rsidRPr="007A44F9">
              <w:rPr>
                <w:rFonts w:cstheme="minorHAnsi"/>
                <w:sz w:val="24"/>
                <w:szCs w:val="24"/>
              </w:rPr>
              <w:t xml:space="preserve"> Sarbanes-Oxley Act of 2002</w:t>
            </w:r>
            <w:r w:rsidR="00FC6920">
              <w:rPr>
                <w:rFonts w:cstheme="minorHAnsi"/>
                <w:sz w:val="24"/>
                <w:szCs w:val="24"/>
              </w:rPr>
              <w:t>.</w:t>
            </w:r>
          </w:p>
        </w:tc>
      </w:tr>
      <w:tr w:rsidR="009E40E1" w:rsidRPr="00E57C84" w14:paraId="16128BE8" w14:textId="77777777" w:rsidTr="00800362">
        <w:tc>
          <w:tcPr>
            <w:tcW w:w="14029" w:type="dxa"/>
            <w:gridSpan w:val="3"/>
          </w:tcPr>
          <w:p w14:paraId="1D77C022" w14:textId="1988D413" w:rsidR="009E40E1" w:rsidRPr="00E57C84" w:rsidRDefault="009E40E1" w:rsidP="008818B1">
            <w:pPr>
              <w:rPr>
                <w:rFonts w:cstheme="minorHAnsi"/>
                <w:sz w:val="24"/>
                <w:szCs w:val="24"/>
              </w:rPr>
            </w:pPr>
            <w:r w:rsidRPr="00E57C84">
              <w:rPr>
                <w:rStyle w:val="A1"/>
                <w:rFonts w:cstheme="minorHAnsi"/>
                <w:sz w:val="24"/>
                <w:szCs w:val="24"/>
              </w:rPr>
              <w:lastRenderedPageBreak/>
              <w:t>MAINTAIN A DYNAMIC MANAGEMENT FRAMEWORK</w:t>
            </w:r>
          </w:p>
        </w:tc>
      </w:tr>
      <w:tr w:rsidR="004E0BFD" w:rsidRPr="00E57C84" w14:paraId="729B8855" w14:textId="77777777" w:rsidTr="00E57C84">
        <w:tc>
          <w:tcPr>
            <w:tcW w:w="3539" w:type="dxa"/>
            <w:gridSpan w:val="2"/>
          </w:tcPr>
          <w:p w14:paraId="152FA579" w14:textId="7930AA00" w:rsidR="004E0BFD" w:rsidRPr="00E57C84" w:rsidRDefault="004E0BFD" w:rsidP="004E0BFD">
            <w:pPr>
              <w:rPr>
                <w:rFonts w:cstheme="minorHAnsi"/>
                <w:b/>
                <w:bCs/>
                <w:i/>
                <w:iCs/>
                <w:color w:val="000000"/>
                <w:sz w:val="24"/>
                <w:szCs w:val="24"/>
              </w:rPr>
            </w:pPr>
            <w:r w:rsidRPr="00E57C84">
              <w:rPr>
                <w:rFonts w:cstheme="minorHAnsi"/>
                <w:b/>
                <w:bCs/>
                <w:i/>
                <w:iCs/>
                <w:sz w:val="24"/>
                <w:szCs w:val="24"/>
              </w:rPr>
              <w:t>PRINCIPLE</w:t>
            </w:r>
          </w:p>
        </w:tc>
        <w:tc>
          <w:tcPr>
            <w:tcW w:w="10490" w:type="dxa"/>
          </w:tcPr>
          <w:p w14:paraId="5FEBC2C2" w14:textId="5AF6AFFE" w:rsidR="004E0BFD" w:rsidRPr="00E57C84" w:rsidRDefault="004E0BFD" w:rsidP="004E0BFD">
            <w:pPr>
              <w:rPr>
                <w:rFonts w:cstheme="minorHAnsi"/>
                <w:b/>
                <w:bCs/>
                <w:i/>
                <w:iCs/>
                <w:sz w:val="24"/>
                <w:szCs w:val="24"/>
              </w:rPr>
            </w:pPr>
            <w:r w:rsidRPr="00E57C84">
              <w:rPr>
                <w:rFonts w:cstheme="minorHAnsi"/>
                <w:b/>
                <w:bCs/>
                <w:i/>
                <w:iCs/>
                <w:sz w:val="24"/>
                <w:szCs w:val="24"/>
              </w:rPr>
              <w:t>APPLICATION</w:t>
            </w:r>
          </w:p>
        </w:tc>
      </w:tr>
      <w:tr w:rsidR="00800362" w:rsidRPr="00E57C84" w14:paraId="74CFE6F1" w14:textId="77777777" w:rsidTr="00AA4C29">
        <w:trPr>
          <w:trHeight w:val="841"/>
        </w:trPr>
        <w:tc>
          <w:tcPr>
            <w:tcW w:w="562" w:type="dxa"/>
          </w:tcPr>
          <w:p w14:paraId="3661CCF7" w14:textId="77777777" w:rsidR="008818B1" w:rsidRPr="00E57C84" w:rsidRDefault="008818B1" w:rsidP="008818B1">
            <w:pPr>
              <w:pStyle w:val="ListParagraph"/>
              <w:numPr>
                <w:ilvl w:val="0"/>
                <w:numId w:val="1"/>
              </w:numPr>
              <w:ind w:left="306" w:hanging="284"/>
              <w:rPr>
                <w:rFonts w:cstheme="minorHAnsi"/>
                <w:color w:val="000000"/>
                <w:sz w:val="24"/>
                <w:szCs w:val="24"/>
              </w:rPr>
            </w:pPr>
          </w:p>
        </w:tc>
        <w:tc>
          <w:tcPr>
            <w:tcW w:w="2977" w:type="dxa"/>
          </w:tcPr>
          <w:p w14:paraId="608DF58E" w14:textId="00A13712" w:rsidR="008818B1" w:rsidRPr="00E57C84" w:rsidRDefault="0017521C" w:rsidP="008818B1">
            <w:pPr>
              <w:rPr>
                <w:rFonts w:cstheme="minorHAnsi"/>
                <w:sz w:val="24"/>
                <w:szCs w:val="24"/>
              </w:rPr>
            </w:pPr>
            <w:r>
              <w:rPr>
                <w:rFonts w:cstheme="minorHAnsi"/>
                <w:color w:val="000000"/>
                <w:sz w:val="24"/>
                <w:szCs w:val="24"/>
              </w:rPr>
              <w:t>Establish and m</w:t>
            </w:r>
            <w:r w:rsidR="008818B1" w:rsidRPr="00E57C84">
              <w:rPr>
                <w:rFonts w:cstheme="minorHAnsi"/>
                <w:color w:val="000000"/>
                <w:sz w:val="24"/>
                <w:szCs w:val="24"/>
              </w:rPr>
              <w:t xml:space="preserve">aintain the </w:t>
            </w:r>
            <w:r w:rsidR="00A71FF7" w:rsidRPr="00E57C84">
              <w:rPr>
                <w:rFonts w:cstheme="minorHAnsi"/>
                <w:color w:val="000000"/>
                <w:sz w:val="24"/>
                <w:szCs w:val="24"/>
              </w:rPr>
              <w:t xml:space="preserve">Board </w:t>
            </w:r>
            <w:r w:rsidR="008818B1" w:rsidRPr="00E57C84">
              <w:rPr>
                <w:rFonts w:cstheme="minorHAnsi"/>
                <w:color w:val="000000"/>
                <w:sz w:val="24"/>
                <w:szCs w:val="24"/>
              </w:rPr>
              <w:t xml:space="preserve">as a well-functioning, balanced team led by the </w:t>
            </w:r>
            <w:r w:rsidR="00A71FF7" w:rsidRPr="00E57C84">
              <w:rPr>
                <w:rFonts w:cstheme="minorHAnsi"/>
                <w:color w:val="000000"/>
                <w:sz w:val="24"/>
                <w:szCs w:val="24"/>
              </w:rPr>
              <w:t>Chair</w:t>
            </w:r>
          </w:p>
        </w:tc>
        <w:tc>
          <w:tcPr>
            <w:tcW w:w="10490" w:type="dxa"/>
          </w:tcPr>
          <w:p w14:paraId="368C97D4" w14:textId="6EF052C4" w:rsidR="005B26DA" w:rsidRPr="00E57C84" w:rsidRDefault="00310A36" w:rsidP="008818B1">
            <w:pPr>
              <w:rPr>
                <w:rFonts w:cstheme="minorHAnsi"/>
                <w:sz w:val="24"/>
                <w:szCs w:val="24"/>
              </w:rPr>
            </w:pPr>
            <w:r w:rsidRPr="00E57C84">
              <w:rPr>
                <w:rFonts w:cstheme="minorHAnsi"/>
                <w:sz w:val="24"/>
                <w:szCs w:val="24"/>
              </w:rPr>
              <w:t xml:space="preserve">The Board, led by the Chair, and the </w:t>
            </w:r>
            <w:r w:rsidR="00A71FF7" w:rsidRPr="00E57C84">
              <w:rPr>
                <w:rFonts w:cstheme="minorHAnsi"/>
                <w:sz w:val="24"/>
                <w:szCs w:val="24"/>
              </w:rPr>
              <w:t xml:space="preserve">Committees </w:t>
            </w:r>
            <w:r w:rsidRPr="00E57C84">
              <w:rPr>
                <w:rFonts w:cstheme="minorHAnsi"/>
                <w:sz w:val="24"/>
                <w:szCs w:val="24"/>
              </w:rPr>
              <w:t>regularly receive detailed and high-quality information to facilitate proper assessment of any matters requiring a decision or discussion.</w:t>
            </w:r>
            <w:r w:rsidR="005B26DA" w:rsidRPr="00E57C84">
              <w:rPr>
                <w:rFonts w:cstheme="minorHAnsi"/>
                <w:sz w:val="24"/>
                <w:szCs w:val="24"/>
              </w:rPr>
              <w:t xml:space="preserve">  </w:t>
            </w:r>
          </w:p>
          <w:p w14:paraId="63ABCD1B" w14:textId="77777777" w:rsidR="005B26DA" w:rsidRPr="00E57C84" w:rsidRDefault="005B26DA" w:rsidP="008818B1">
            <w:pPr>
              <w:rPr>
                <w:rFonts w:cstheme="minorHAnsi"/>
                <w:sz w:val="24"/>
                <w:szCs w:val="24"/>
              </w:rPr>
            </w:pPr>
          </w:p>
          <w:p w14:paraId="7F440F5B" w14:textId="0CF61B67" w:rsidR="008818B1" w:rsidRPr="00E57C84" w:rsidRDefault="005B26DA" w:rsidP="008818B1">
            <w:pPr>
              <w:rPr>
                <w:rFonts w:cstheme="minorHAnsi"/>
                <w:sz w:val="24"/>
                <w:szCs w:val="24"/>
              </w:rPr>
            </w:pPr>
            <w:r w:rsidRPr="00E57C84">
              <w:rPr>
                <w:rFonts w:cstheme="minorHAnsi"/>
                <w:sz w:val="24"/>
                <w:szCs w:val="24"/>
              </w:rPr>
              <w:t xml:space="preserve">The Board consists of </w:t>
            </w:r>
            <w:r w:rsidR="00081F4C">
              <w:rPr>
                <w:rFonts w:cstheme="minorHAnsi"/>
                <w:sz w:val="24"/>
                <w:szCs w:val="24"/>
              </w:rPr>
              <w:t>two</w:t>
            </w:r>
            <w:r w:rsidR="00081F4C" w:rsidRPr="00E57C84">
              <w:rPr>
                <w:rFonts w:cstheme="minorHAnsi"/>
                <w:sz w:val="24"/>
                <w:szCs w:val="24"/>
              </w:rPr>
              <w:t xml:space="preserve"> </w:t>
            </w:r>
            <w:r w:rsidRPr="00E57C84">
              <w:rPr>
                <w:rFonts w:cstheme="minorHAnsi"/>
                <w:sz w:val="24"/>
                <w:szCs w:val="24"/>
              </w:rPr>
              <w:t xml:space="preserve">executive </w:t>
            </w:r>
            <w:r w:rsidR="000C61D4" w:rsidRPr="00E57C84">
              <w:rPr>
                <w:rFonts w:cstheme="minorHAnsi"/>
                <w:sz w:val="24"/>
                <w:szCs w:val="24"/>
              </w:rPr>
              <w:t xml:space="preserve">Directors </w:t>
            </w:r>
            <w:r w:rsidRPr="00E57C84">
              <w:rPr>
                <w:rFonts w:cstheme="minorHAnsi"/>
                <w:sz w:val="24"/>
                <w:szCs w:val="24"/>
              </w:rPr>
              <w:t xml:space="preserve">and </w:t>
            </w:r>
            <w:r w:rsidR="003B4115">
              <w:rPr>
                <w:rFonts w:cstheme="minorHAnsi"/>
                <w:sz w:val="24"/>
                <w:szCs w:val="24"/>
              </w:rPr>
              <w:t>eight</w:t>
            </w:r>
            <w:r w:rsidR="00FB24CC" w:rsidRPr="00E57C84">
              <w:rPr>
                <w:rFonts w:cstheme="minorHAnsi"/>
                <w:sz w:val="24"/>
                <w:szCs w:val="24"/>
              </w:rPr>
              <w:t xml:space="preserve"> </w:t>
            </w:r>
            <w:r w:rsidR="00FA5194">
              <w:rPr>
                <w:rFonts w:cstheme="minorHAnsi"/>
                <w:sz w:val="24"/>
                <w:szCs w:val="24"/>
              </w:rPr>
              <w:t xml:space="preserve">independent </w:t>
            </w:r>
            <w:r w:rsidRPr="00E57C84">
              <w:rPr>
                <w:rFonts w:cstheme="minorHAnsi"/>
                <w:sz w:val="24"/>
                <w:szCs w:val="24"/>
              </w:rPr>
              <w:t xml:space="preserve">non-executive </w:t>
            </w:r>
            <w:r w:rsidR="00A71FF7" w:rsidRPr="00E57C84">
              <w:rPr>
                <w:rFonts w:cstheme="minorHAnsi"/>
                <w:sz w:val="24"/>
                <w:szCs w:val="24"/>
              </w:rPr>
              <w:t>Directors</w:t>
            </w:r>
            <w:r w:rsidR="004518FC">
              <w:rPr>
                <w:rFonts w:cstheme="minorHAnsi"/>
                <w:sz w:val="24"/>
                <w:szCs w:val="24"/>
              </w:rPr>
              <w:t xml:space="preserve">, three of whom are female and </w:t>
            </w:r>
            <w:r w:rsidR="004652A4">
              <w:rPr>
                <w:rFonts w:cstheme="minorHAnsi"/>
                <w:sz w:val="24"/>
                <w:szCs w:val="24"/>
              </w:rPr>
              <w:t>four are Zimbabwean</w:t>
            </w:r>
            <w:r w:rsidRPr="00E57C84">
              <w:rPr>
                <w:rFonts w:cstheme="minorHAnsi"/>
                <w:sz w:val="24"/>
                <w:szCs w:val="24"/>
              </w:rPr>
              <w:t>.  The Board must ensure that at all times the roles of Chairman and CEO are kept clearly separate.</w:t>
            </w:r>
          </w:p>
          <w:p w14:paraId="590937C1" w14:textId="51ACBB08" w:rsidR="00310A36" w:rsidRPr="00E57C84" w:rsidRDefault="00310A36" w:rsidP="008818B1">
            <w:pPr>
              <w:rPr>
                <w:rFonts w:cstheme="minorHAnsi"/>
                <w:sz w:val="24"/>
                <w:szCs w:val="24"/>
              </w:rPr>
            </w:pPr>
          </w:p>
          <w:p w14:paraId="6575E30E" w14:textId="0844D2A8" w:rsidR="002658B3" w:rsidRDefault="00310A36" w:rsidP="00792679">
            <w:pPr>
              <w:rPr>
                <w:rFonts w:cstheme="minorHAnsi"/>
                <w:sz w:val="24"/>
                <w:szCs w:val="24"/>
              </w:rPr>
            </w:pPr>
            <w:r w:rsidRPr="00E57C84">
              <w:rPr>
                <w:rFonts w:cstheme="minorHAnsi"/>
                <w:sz w:val="24"/>
                <w:szCs w:val="24"/>
              </w:rPr>
              <w:t xml:space="preserve">The </w:t>
            </w:r>
            <w:r w:rsidR="00A71FF7" w:rsidRPr="00E57C84">
              <w:rPr>
                <w:rFonts w:cstheme="minorHAnsi"/>
                <w:sz w:val="24"/>
                <w:szCs w:val="24"/>
              </w:rPr>
              <w:t xml:space="preserve">Directors </w:t>
            </w:r>
            <w:r w:rsidRPr="00E57C84">
              <w:rPr>
                <w:rFonts w:cstheme="minorHAnsi"/>
                <w:sz w:val="24"/>
                <w:szCs w:val="24"/>
              </w:rPr>
              <w:t xml:space="preserve">bring to the Board and its </w:t>
            </w:r>
            <w:r w:rsidR="00A71FF7" w:rsidRPr="00E57C84">
              <w:rPr>
                <w:rFonts w:cstheme="minorHAnsi"/>
                <w:sz w:val="24"/>
                <w:szCs w:val="24"/>
              </w:rPr>
              <w:t xml:space="preserve">Committees </w:t>
            </w:r>
            <w:r w:rsidR="006D62A7" w:rsidRPr="006D62A7">
              <w:rPr>
                <w:rFonts w:cstheme="minorHAnsi"/>
                <w:sz w:val="24"/>
                <w:szCs w:val="24"/>
              </w:rPr>
              <w:t>the necessary mix of experience, skills, and capabilities to adequately</w:t>
            </w:r>
            <w:r w:rsidR="00722731">
              <w:rPr>
                <w:rFonts w:cstheme="minorHAnsi"/>
                <w:sz w:val="24"/>
                <w:szCs w:val="24"/>
              </w:rPr>
              <w:t xml:space="preserve"> </w:t>
            </w:r>
            <w:r w:rsidR="006D62A7" w:rsidRPr="006D62A7">
              <w:rPr>
                <w:rFonts w:cstheme="minorHAnsi"/>
                <w:sz w:val="24"/>
                <w:szCs w:val="24"/>
              </w:rPr>
              <w:t xml:space="preserve">inform and oversee the execution of the </w:t>
            </w:r>
            <w:r w:rsidR="00722731" w:rsidRPr="006D62A7">
              <w:rPr>
                <w:rFonts w:cstheme="minorHAnsi"/>
                <w:sz w:val="24"/>
                <w:szCs w:val="24"/>
              </w:rPr>
              <w:t xml:space="preserve">Company’s </w:t>
            </w:r>
            <w:r w:rsidR="006D62A7" w:rsidRPr="006D62A7">
              <w:rPr>
                <w:rFonts w:cstheme="minorHAnsi"/>
                <w:sz w:val="24"/>
                <w:szCs w:val="24"/>
              </w:rPr>
              <w:t>strategy for the benefit of the shareholders over the medium to long-term</w:t>
            </w:r>
            <w:r w:rsidRPr="00E57C84">
              <w:rPr>
                <w:rFonts w:cstheme="minorHAnsi"/>
                <w:sz w:val="24"/>
                <w:szCs w:val="24"/>
              </w:rPr>
              <w:t xml:space="preserve">.  Biographies of each of the </w:t>
            </w:r>
            <w:r w:rsidR="00A71FF7" w:rsidRPr="00E57C84">
              <w:rPr>
                <w:rFonts w:cstheme="minorHAnsi"/>
                <w:sz w:val="24"/>
                <w:szCs w:val="24"/>
              </w:rPr>
              <w:t xml:space="preserve">Directors </w:t>
            </w:r>
            <w:r w:rsidRPr="00E57C84">
              <w:rPr>
                <w:rFonts w:cstheme="minorHAnsi"/>
                <w:sz w:val="24"/>
                <w:szCs w:val="24"/>
              </w:rPr>
              <w:t xml:space="preserve">can be found </w:t>
            </w:r>
            <w:hyperlink r:id="rId23" w:anchor="directors" w:history="1">
              <w:r w:rsidRPr="00E57C84">
                <w:rPr>
                  <w:rStyle w:val="Hyperlink"/>
                  <w:rFonts w:cstheme="minorHAnsi"/>
                  <w:sz w:val="24"/>
                  <w:szCs w:val="24"/>
                </w:rPr>
                <w:t>here</w:t>
              </w:r>
            </w:hyperlink>
            <w:r w:rsidRPr="00E57C84">
              <w:rPr>
                <w:rFonts w:cstheme="minorHAnsi"/>
                <w:sz w:val="24"/>
                <w:szCs w:val="24"/>
              </w:rPr>
              <w:t xml:space="preserve"> and the </w:t>
            </w:r>
            <w:r w:rsidR="006832B4">
              <w:rPr>
                <w:rFonts w:cstheme="minorHAnsi"/>
                <w:sz w:val="24"/>
                <w:szCs w:val="24"/>
              </w:rPr>
              <w:t xml:space="preserve">Director </w:t>
            </w:r>
            <w:r w:rsidRPr="00E57C84">
              <w:rPr>
                <w:rFonts w:cstheme="minorHAnsi"/>
                <w:sz w:val="24"/>
                <w:szCs w:val="24"/>
              </w:rPr>
              <w:t xml:space="preserve">composition of each of the </w:t>
            </w:r>
            <w:r w:rsidR="00A71FF7" w:rsidRPr="00E57C84">
              <w:rPr>
                <w:rFonts w:cstheme="minorHAnsi"/>
                <w:sz w:val="24"/>
                <w:szCs w:val="24"/>
              </w:rPr>
              <w:t xml:space="preserve">Committees </w:t>
            </w:r>
            <w:r w:rsidRPr="00E57C84">
              <w:rPr>
                <w:rFonts w:cstheme="minorHAnsi"/>
                <w:sz w:val="24"/>
                <w:szCs w:val="24"/>
              </w:rPr>
              <w:t xml:space="preserve">is </w:t>
            </w:r>
            <w:hyperlink r:id="rId24" w:history="1">
              <w:r w:rsidRPr="00E57C84">
                <w:rPr>
                  <w:rStyle w:val="Hyperlink"/>
                  <w:rFonts w:cstheme="minorHAnsi"/>
                  <w:sz w:val="24"/>
                  <w:szCs w:val="24"/>
                </w:rPr>
                <w:t>here</w:t>
              </w:r>
            </w:hyperlink>
            <w:r w:rsidRPr="00E57C84">
              <w:rPr>
                <w:rFonts w:cstheme="minorHAnsi"/>
                <w:sz w:val="24"/>
                <w:szCs w:val="24"/>
              </w:rPr>
              <w:t xml:space="preserve">.  </w:t>
            </w:r>
            <w:r w:rsidR="007A0D71">
              <w:rPr>
                <w:rFonts w:cstheme="minorHAnsi"/>
                <w:sz w:val="24"/>
                <w:szCs w:val="24"/>
              </w:rPr>
              <w:t xml:space="preserve">In accordance with </w:t>
            </w:r>
            <w:r w:rsidR="001D270D">
              <w:rPr>
                <w:rFonts w:cstheme="minorHAnsi"/>
                <w:sz w:val="24"/>
                <w:szCs w:val="24"/>
              </w:rPr>
              <w:t>good corporate governance practice, the</w:t>
            </w:r>
            <w:r w:rsidR="007A0D71">
              <w:rPr>
                <w:rFonts w:cstheme="minorHAnsi"/>
                <w:sz w:val="24"/>
                <w:szCs w:val="24"/>
              </w:rPr>
              <w:t xml:space="preserve"> Audit Committee and Compensation Committee </w:t>
            </w:r>
            <w:r w:rsidR="001D270D">
              <w:rPr>
                <w:rFonts w:cstheme="minorHAnsi"/>
                <w:sz w:val="24"/>
                <w:szCs w:val="24"/>
              </w:rPr>
              <w:t>only include independent non-executive Directors as members.</w:t>
            </w:r>
            <w:r w:rsidR="001321C8">
              <w:rPr>
                <w:rFonts w:cstheme="minorHAnsi"/>
                <w:sz w:val="24"/>
                <w:szCs w:val="24"/>
              </w:rPr>
              <w:t xml:space="preserve">  The Board has not nominated a senior independent Director</w:t>
            </w:r>
            <w:r w:rsidR="00631FFE">
              <w:rPr>
                <w:rFonts w:cstheme="minorHAnsi"/>
                <w:sz w:val="24"/>
                <w:szCs w:val="24"/>
              </w:rPr>
              <w:t xml:space="preserve"> but will </w:t>
            </w:r>
            <w:r w:rsidR="00DA7FD9">
              <w:rPr>
                <w:rFonts w:cstheme="minorHAnsi"/>
                <w:sz w:val="24"/>
                <w:szCs w:val="24"/>
              </w:rPr>
              <w:t xml:space="preserve">continue to </w:t>
            </w:r>
            <w:r w:rsidR="00631FFE">
              <w:rPr>
                <w:rFonts w:cstheme="minorHAnsi"/>
                <w:sz w:val="24"/>
                <w:szCs w:val="24"/>
              </w:rPr>
              <w:t>consider whether this would be appropriate.</w:t>
            </w:r>
          </w:p>
          <w:p w14:paraId="3938713E" w14:textId="455D23BA" w:rsidR="00A71FF7" w:rsidRDefault="00A71FF7" w:rsidP="00792679">
            <w:pPr>
              <w:rPr>
                <w:rFonts w:cstheme="minorHAnsi"/>
                <w:sz w:val="24"/>
                <w:szCs w:val="24"/>
              </w:rPr>
            </w:pPr>
          </w:p>
          <w:p w14:paraId="213065FF" w14:textId="23F8B225" w:rsidR="00A71FF7" w:rsidRDefault="00A71FF7" w:rsidP="00792679">
            <w:pPr>
              <w:rPr>
                <w:rFonts w:cstheme="minorHAnsi"/>
                <w:sz w:val="24"/>
                <w:szCs w:val="24"/>
              </w:rPr>
            </w:pPr>
            <w:r w:rsidRPr="00A71FF7">
              <w:rPr>
                <w:rFonts w:cstheme="minorHAnsi"/>
                <w:sz w:val="24"/>
                <w:szCs w:val="24"/>
              </w:rPr>
              <w:lastRenderedPageBreak/>
              <w:t xml:space="preserve">Succession planning </w:t>
            </w:r>
            <w:r w:rsidR="0066646E">
              <w:rPr>
                <w:rFonts w:cstheme="minorHAnsi"/>
                <w:sz w:val="24"/>
                <w:szCs w:val="24"/>
              </w:rPr>
              <w:t>and Board development are</w:t>
            </w:r>
            <w:r w:rsidRPr="00A71FF7">
              <w:rPr>
                <w:rFonts w:cstheme="minorHAnsi"/>
                <w:sz w:val="24"/>
                <w:szCs w:val="24"/>
              </w:rPr>
              <w:t xml:space="preserve"> considered by the Board to be a crucial element of ensuring continued success and long-term prosperity for the business. </w:t>
            </w:r>
            <w:r>
              <w:rPr>
                <w:rFonts w:cstheme="minorHAnsi"/>
                <w:sz w:val="24"/>
                <w:szCs w:val="24"/>
              </w:rPr>
              <w:t xml:space="preserve">The Nomination </w:t>
            </w:r>
            <w:r w:rsidR="00AA4C29">
              <w:rPr>
                <w:rFonts w:cstheme="minorHAnsi"/>
                <w:sz w:val="24"/>
                <w:szCs w:val="24"/>
              </w:rPr>
              <w:t xml:space="preserve">and Corporate Governance </w:t>
            </w:r>
            <w:r>
              <w:rPr>
                <w:rFonts w:cstheme="minorHAnsi"/>
                <w:sz w:val="24"/>
                <w:szCs w:val="24"/>
              </w:rPr>
              <w:t>Committee is responsible for the succession strategy for</w:t>
            </w:r>
            <w:r w:rsidRPr="00A71FF7">
              <w:rPr>
                <w:rFonts w:cstheme="minorHAnsi"/>
                <w:sz w:val="24"/>
                <w:szCs w:val="24"/>
              </w:rPr>
              <w:t xml:space="preserve"> executive management </w:t>
            </w:r>
            <w:r>
              <w:rPr>
                <w:rFonts w:cstheme="minorHAnsi"/>
                <w:sz w:val="24"/>
                <w:szCs w:val="24"/>
              </w:rPr>
              <w:t xml:space="preserve">and the </w:t>
            </w:r>
            <w:r w:rsidR="004D7B30">
              <w:rPr>
                <w:rFonts w:cstheme="minorHAnsi"/>
                <w:sz w:val="24"/>
                <w:szCs w:val="24"/>
              </w:rPr>
              <w:t xml:space="preserve">development plan for the </w:t>
            </w:r>
            <w:r>
              <w:rPr>
                <w:rFonts w:cstheme="minorHAnsi"/>
                <w:sz w:val="24"/>
                <w:szCs w:val="24"/>
              </w:rPr>
              <w:t>Board</w:t>
            </w:r>
            <w:r w:rsidRPr="00A71FF7">
              <w:rPr>
                <w:rFonts w:cstheme="minorHAnsi"/>
                <w:sz w:val="24"/>
                <w:szCs w:val="24"/>
              </w:rPr>
              <w:t xml:space="preserve"> </w:t>
            </w:r>
            <w:r>
              <w:rPr>
                <w:rFonts w:cstheme="minorHAnsi"/>
                <w:sz w:val="24"/>
                <w:szCs w:val="24"/>
              </w:rPr>
              <w:t xml:space="preserve">and </w:t>
            </w:r>
            <w:r w:rsidRPr="00A71FF7">
              <w:rPr>
                <w:rFonts w:cstheme="minorHAnsi"/>
                <w:sz w:val="24"/>
                <w:szCs w:val="24"/>
              </w:rPr>
              <w:t>to ensure that high-potential individuals are identified and supported appropriately.</w:t>
            </w:r>
            <w:r w:rsidR="0066646E">
              <w:rPr>
                <w:rFonts w:cstheme="minorHAnsi"/>
                <w:sz w:val="24"/>
                <w:szCs w:val="24"/>
              </w:rPr>
              <w:t xml:space="preserve">  The succession and Board development plans are regularly reviewed and refreshed</w:t>
            </w:r>
            <w:r w:rsidR="003C3C03">
              <w:rPr>
                <w:rFonts w:cstheme="minorHAnsi"/>
                <w:sz w:val="24"/>
                <w:szCs w:val="24"/>
              </w:rPr>
              <w:t>.</w:t>
            </w:r>
          </w:p>
          <w:p w14:paraId="175007AB" w14:textId="7442F1ED" w:rsidR="00A71FF7" w:rsidRDefault="00A71FF7" w:rsidP="00792679">
            <w:pPr>
              <w:rPr>
                <w:rFonts w:cstheme="minorHAnsi"/>
                <w:sz w:val="24"/>
                <w:szCs w:val="24"/>
              </w:rPr>
            </w:pPr>
          </w:p>
          <w:p w14:paraId="474803E3" w14:textId="16353E9F" w:rsidR="00A71FF7" w:rsidRDefault="00A71FF7" w:rsidP="00792679">
            <w:pPr>
              <w:rPr>
                <w:rFonts w:cstheme="minorHAnsi"/>
                <w:sz w:val="24"/>
                <w:szCs w:val="24"/>
              </w:rPr>
            </w:pPr>
            <w:r w:rsidRPr="00A71FF7">
              <w:rPr>
                <w:rFonts w:cstheme="minorHAnsi"/>
                <w:sz w:val="24"/>
                <w:szCs w:val="24"/>
              </w:rPr>
              <w:t xml:space="preserve">All Directors retire each year, and can put themselves forward for re-election, </w:t>
            </w:r>
            <w:r w:rsidR="00EB6ED8">
              <w:rPr>
                <w:rFonts w:cstheme="minorHAnsi"/>
                <w:sz w:val="24"/>
                <w:szCs w:val="24"/>
              </w:rPr>
              <w:t xml:space="preserve">at the annual general meeting </w:t>
            </w:r>
            <w:r w:rsidRPr="00A71FF7">
              <w:rPr>
                <w:rFonts w:cstheme="minorHAnsi"/>
                <w:sz w:val="24"/>
                <w:szCs w:val="24"/>
              </w:rPr>
              <w:t>in accordance with the Company’s articles of association.</w:t>
            </w:r>
          </w:p>
          <w:p w14:paraId="11F5E0D2" w14:textId="77777777" w:rsidR="00E21746" w:rsidRDefault="00E21746" w:rsidP="00792679">
            <w:pPr>
              <w:rPr>
                <w:rFonts w:cstheme="minorHAnsi"/>
                <w:sz w:val="24"/>
                <w:szCs w:val="24"/>
              </w:rPr>
            </w:pPr>
          </w:p>
          <w:p w14:paraId="4957A7B5" w14:textId="22E9672F" w:rsidR="00E21746" w:rsidRDefault="00E21746" w:rsidP="00792679">
            <w:pPr>
              <w:rPr>
                <w:rFonts w:cstheme="minorHAnsi"/>
                <w:sz w:val="24"/>
                <w:szCs w:val="24"/>
              </w:rPr>
            </w:pPr>
            <w:r>
              <w:rPr>
                <w:rFonts w:cstheme="minorHAnsi"/>
                <w:sz w:val="24"/>
                <w:szCs w:val="24"/>
              </w:rPr>
              <w:t xml:space="preserve">Each year the Board </w:t>
            </w:r>
            <w:r w:rsidR="00E22705">
              <w:rPr>
                <w:rFonts w:cstheme="minorHAnsi"/>
                <w:sz w:val="24"/>
                <w:szCs w:val="24"/>
              </w:rPr>
              <w:t xml:space="preserve">is required to </w:t>
            </w:r>
            <w:r w:rsidR="00387B09">
              <w:rPr>
                <w:rFonts w:cstheme="minorHAnsi"/>
                <w:sz w:val="24"/>
                <w:szCs w:val="24"/>
              </w:rPr>
              <w:t xml:space="preserve">positively affirm the independence of </w:t>
            </w:r>
            <w:r w:rsidR="00E22705">
              <w:rPr>
                <w:rFonts w:cstheme="minorHAnsi"/>
                <w:sz w:val="24"/>
                <w:szCs w:val="24"/>
              </w:rPr>
              <w:t xml:space="preserve">each of </w:t>
            </w:r>
            <w:r w:rsidR="00387B09">
              <w:rPr>
                <w:rFonts w:cstheme="minorHAnsi"/>
                <w:sz w:val="24"/>
                <w:szCs w:val="24"/>
              </w:rPr>
              <w:t xml:space="preserve">the non-executive </w:t>
            </w:r>
            <w:r w:rsidR="00B7184C">
              <w:rPr>
                <w:rFonts w:cstheme="minorHAnsi"/>
                <w:sz w:val="24"/>
                <w:szCs w:val="24"/>
              </w:rPr>
              <w:t>Directors</w:t>
            </w:r>
            <w:r w:rsidR="00387B09">
              <w:rPr>
                <w:rFonts w:cstheme="minorHAnsi"/>
                <w:sz w:val="24"/>
                <w:szCs w:val="24"/>
              </w:rPr>
              <w:t>, as required pursuant to the provisions of the NYSE American LLC Company Guide.</w:t>
            </w:r>
          </w:p>
          <w:p w14:paraId="366B7E3B" w14:textId="59D7A994" w:rsidR="00EF2524" w:rsidRDefault="00EF2524" w:rsidP="00792679">
            <w:pPr>
              <w:rPr>
                <w:rFonts w:cstheme="minorHAnsi"/>
                <w:sz w:val="24"/>
                <w:szCs w:val="24"/>
              </w:rPr>
            </w:pPr>
            <w:r>
              <w:rPr>
                <w:rFonts w:cstheme="minorHAnsi"/>
                <w:sz w:val="24"/>
                <w:szCs w:val="24"/>
              </w:rPr>
              <w:t xml:space="preserve">Directors are expected to attend all scheduled Board meetings (which occur once a quarter), and a number of ad hoc and scheduled Committee meetings throughout the year.  </w:t>
            </w:r>
            <w:r w:rsidR="00AC552B">
              <w:rPr>
                <w:rFonts w:cstheme="minorHAnsi"/>
                <w:sz w:val="24"/>
                <w:szCs w:val="24"/>
              </w:rPr>
              <w:t>Accepting external roles (e.g. other public company directorships), which may have a significant time commitment</w:t>
            </w:r>
            <w:r w:rsidR="00A24046">
              <w:rPr>
                <w:rFonts w:cstheme="minorHAnsi"/>
                <w:sz w:val="24"/>
                <w:szCs w:val="24"/>
              </w:rPr>
              <w:t xml:space="preserve">, requires approval </w:t>
            </w:r>
            <w:r w:rsidR="0044264D">
              <w:rPr>
                <w:rFonts w:cstheme="minorHAnsi"/>
                <w:sz w:val="24"/>
                <w:szCs w:val="24"/>
              </w:rPr>
              <w:t>from the Chairman</w:t>
            </w:r>
            <w:r w:rsidR="00D46421">
              <w:rPr>
                <w:rFonts w:cstheme="minorHAnsi"/>
                <w:sz w:val="24"/>
                <w:szCs w:val="24"/>
              </w:rPr>
              <w:t xml:space="preserve"> or the Board</w:t>
            </w:r>
            <w:r w:rsidR="00A24046">
              <w:rPr>
                <w:rFonts w:cstheme="minorHAnsi"/>
                <w:sz w:val="24"/>
                <w:szCs w:val="24"/>
              </w:rPr>
              <w:t>.</w:t>
            </w:r>
          </w:p>
          <w:p w14:paraId="13D73280" w14:textId="77777777" w:rsidR="007F20F5" w:rsidRDefault="007F20F5" w:rsidP="00792679">
            <w:pPr>
              <w:rPr>
                <w:rFonts w:cstheme="minorHAnsi"/>
                <w:sz w:val="24"/>
                <w:szCs w:val="24"/>
              </w:rPr>
            </w:pPr>
          </w:p>
          <w:p w14:paraId="6107F63F" w14:textId="0E802D7B" w:rsidR="007F20F5" w:rsidRDefault="007F20F5" w:rsidP="00792679">
            <w:pPr>
              <w:rPr>
                <w:rFonts w:cstheme="minorHAnsi"/>
                <w:sz w:val="24"/>
                <w:szCs w:val="24"/>
              </w:rPr>
            </w:pPr>
            <w:r>
              <w:rPr>
                <w:rFonts w:cstheme="minorHAnsi"/>
                <w:sz w:val="24"/>
                <w:szCs w:val="24"/>
              </w:rPr>
              <w:t xml:space="preserve">The number of meetings held </w:t>
            </w:r>
            <w:r w:rsidR="008E7F76">
              <w:rPr>
                <w:rFonts w:cstheme="minorHAnsi"/>
                <w:sz w:val="24"/>
                <w:szCs w:val="24"/>
              </w:rPr>
              <w:t xml:space="preserve">each </w:t>
            </w:r>
            <w:r>
              <w:rPr>
                <w:rFonts w:cstheme="minorHAnsi"/>
                <w:sz w:val="24"/>
                <w:szCs w:val="24"/>
              </w:rPr>
              <w:t xml:space="preserve">year and the attendance record of each of the Directors can be found in the </w:t>
            </w:r>
            <w:r w:rsidR="006C55D3">
              <w:rPr>
                <w:rFonts w:cstheme="minorHAnsi"/>
                <w:sz w:val="24"/>
                <w:szCs w:val="24"/>
              </w:rPr>
              <w:t xml:space="preserve">Company’s </w:t>
            </w:r>
            <w:r w:rsidR="008714FF">
              <w:rPr>
                <w:rFonts w:cstheme="minorHAnsi"/>
                <w:sz w:val="24"/>
                <w:szCs w:val="24"/>
              </w:rPr>
              <w:t>management information circular</w:t>
            </w:r>
            <w:r w:rsidR="00293D36">
              <w:rPr>
                <w:rFonts w:cstheme="minorHAnsi"/>
                <w:sz w:val="24"/>
                <w:szCs w:val="24"/>
              </w:rPr>
              <w:t>s. Copies of management information circulars</w:t>
            </w:r>
            <w:r w:rsidR="007D3D60">
              <w:rPr>
                <w:rFonts w:cstheme="minorHAnsi"/>
                <w:sz w:val="24"/>
                <w:szCs w:val="24"/>
              </w:rPr>
              <w:t xml:space="preserve"> can be found </w:t>
            </w:r>
            <w:hyperlink r:id="rId25" w:anchor="shareholder-meeting-documents" w:history="1">
              <w:r w:rsidR="007D3D60" w:rsidRPr="009A0C3A">
                <w:rPr>
                  <w:rStyle w:val="Hyperlink"/>
                  <w:rFonts w:cstheme="minorHAnsi"/>
                  <w:sz w:val="24"/>
                  <w:szCs w:val="24"/>
                </w:rPr>
                <w:t>here</w:t>
              </w:r>
            </w:hyperlink>
            <w:r w:rsidR="0067178E">
              <w:rPr>
                <w:rFonts w:cstheme="minorHAnsi"/>
                <w:sz w:val="24"/>
                <w:szCs w:val="24"/>
              </w:rPr>
              <w:t>.</w:t>
            </w:r>
          </w:p>
          <w:p w14:paraId="6C3C2432" w14:textId="77777777" w:rsidR="002A1B41" w:rsidRDefault="002A1B41" w:rsidP="00792679">
            <w:pPr>
              <w:rPr>
                <w:rFonts w:cstheme="minorHAnsi"/>
                <w:sz w:val="24"/>
                <w:szCs w:val="24"/>
              </w:rPr>
            </w:pPr>
          </w:p>
          <w:p w14:paraId="41124438" w14:textId="1695CE8C" w:rsidR="00E57C84" w:rsidRPr="00E57C84" w:rsidRDefault="007F20F5" w:rsidP="00792679">
            <w:pPr>
              <w:rPr>
                <w:rFonts w:cstheme="minorHAnsi"/>
                <w:sz w:val="24"/>
                <w:szCs w:val="24"/>
              </w:rPr>
            </w:pPr>
            <w:r>
              <w:rPr>
                <w:rFonts w:cstheme="minorHAnsi"/>
                <w:sz w:val="24"/>
                <w:szCs w:val="24"/>
              </w:rPr>
              <w:t>N</w:t>
            </w:r>
            <w:r w:rsidR="002A1B41">
              <w:rPr>
                <w:rFonts w:cstheme="minorHAnsi"/>
                <w:sz w:val="24"/>
                <w:szCs w:val="24"/>
              </w:rPr>
              <w:t xml:space="preserve">on-executive </w:t>
            </w:r>
            <w:r>
              <w:rPr>
                <w:rFonts w:cstheme="minorHAnsi"/>
                <w:sz w:val="24"/>
                <w:szCs w:val="24"/>
              </w:rPr>
              <w:t xml:space="preserve">Directors do not </w:t>
            </w:r>
            <w:r w:rsidR="00ED1602">
              <w:rPr>
                <w:rFonts w:cstheme="minorHAnsi"/>
                <w:sz w:val="24"/>
                <w:szCs w:val="24"/>
              </w:rPr>
              <w:t xml:space="preserve">currently </w:t>
            </w:r>
            <w:r>
              <w:rPr>
                <w:rFonts w:cstheme="minorHAnsi"/>
                <w:sz w:val="24"/>
                <w:szCs w:val="24"/>
              </w:rPr>
              <w:t>receive performance-related remuneration.</w:t>
            </w:r>
          </w:p>
        </w:tc>
      </w:tr>
      <w:tr w:rsidR="00800362" w:rsidRPr="00E57C84" w14:paraId="7577B01A" w14:textId="77777777" w:rsidTr="00221CE9">
        <w:tc>
          <w:tcPr>
            <w:tcW w:w="562" w:type="dxa"/>
          </w:tcPr>
          <w:p w14:paraId="7C0EB7BE" w14:textId="77777777" w:rsidR="008818B1" w:rsidRPr="00E57C84" w:rsidRDefault="008818B1" w:rsidP="008818B1">
            <w:pPr>
              <w:pStyle w:val="ListParagraph"/>
              <w:numPr>
                <w:ilvl w:val="0"/>
                <w:numId w:val="1"/>
              </w:numPr>
              <w:ind w:left="306" w:hanging="284"/>
              <w:rPr>
                <w:rFonts w:cstheme="minorHAnsi"/>
                <w:color w:val="000000"/>
                <w:sz w:val="24"/>
                <w:szCs w:val="24"/>
              </w:rPr>
            </w:pPr>
          </w:p>
        </w:tc>
        <w:tc>
          <w:tcPr>
            <w:tcW w:w="2977" w:type="dxa"/>
          </w:tcPr>
          <w:p w14:paraId="66DB9A25" w14:textId="4FA67A8A" w:rsidR="008818B1" w:rsidRPr="00E57C84" w:rsidRDefault="003E2A87" w:rsidP="008818B1">
            <w:pPr>
              <w:rPr>
                <w:rFonts w:cstheme="minorHAnsi"/>
                <w:sz w:val="24"/>
                <w:szCs w:val="24"/>
              </w:rPr>
            </w:pPr>
            <w:r w:rsidRPr="003E2A87">
              <w:rPr>
                <w:rFonts w:cstheme="minorHAnsi"/>
                <w:color w:val="000000"/>
                <w:sz w:val="24"/>
                <w:szCs w:val="24"/>
              </w:rPr>
              <w:t xml:space="preserve">Maintain appropriate governance structures and </w:t>
            </w:r>
            <w:r>
              <w:rPr>
                <w:rFonts w:cstheme="minorHAnsi"/>
                <w:color w:val="000000"/>
                <w:sz w:val="24"/>
                <w:szCs w:val="24"/>
              </w:rPr>
              <w:t>e</w:t>
            </w:r>
            <w:r w:rsidR="008818B1" w:rsidRPr="00E57C84">
              <w:rPr>
                <w:rFonts w:cstheme="minorHAnsi"/>
                <w:color w:val="000000"/>
                <w:sz w:val="24"/>
                <w:szCs w:val="24"/>
              </w:rPr>
              <w:t xml:space="preserve">nsure that </w:t>
            </w:r>
            <w:r w:rsidR="00CE3C00" w:rsidRPr="00CE3C00">
              <w:rPr>
                <w:rFonts w:cstheme="minorHAnsi"/>
                <w:color w:val="000000"/>
                <w:sz w:val="24"/>
                <w:szCs w:val="24"/>
              </w:rPr>
              <w:t>individually and collectively</w:t>
            </w:r>
            <w:r w:rsidR="00CE3C00" w:rsidRPr="00CE3C00" w:rsidDel="00CE3C00">
              <w:rPr>
                <w:rFonts w:cstheme="minorHAnsi"/>
                <w:color w:val="000000"/>
                <w:sz w:val="24"/>
                <w:szCs w:val="24"/>
              </w:rPr>
              <w:t xml:space="preserve"> </w:t>
            </w:r>
            <w:r w:rsidR="008818B1" w:rsidRPr="00E57C84">
              <w:rPr>
                <w:rFonts w:cstheme="minorHAnsi"/>
                <w:color w:val="000000"/>
                <w:sz w:val="24"/>
                <w:szCs w:val="24"/>
              </w:rPr>
              <w:t xml:space="preserve">the </w:t>
            </w:r>
            <w:r w:rsidR="00A71FF7" w:rsidRPr="00E57C84">
              <w:rPr>
                <w:rFonts w:cstheme="minorHAnsi"/>
                <w:color w:val="000000"/>
                <w:sz w:val="24"/>
                <w:szCs w:val="24"/>
              </w:rPr>
              <w:t xml:space="preserve">Directors </w:t>
            </w:r>
            <w:r w:rsidR="008818B1" w:rsidRPr="00E57C84">
              <w:rPr>
                <w:rFonts w:cstheme="minorHAnsi"/>
                <w:color w:val="000000"/>
                <w:sz w:val="24"/>
                <w:szCs w:val="24"/>
              </w:rPr>
              <w:t>have the necessary up-to-date experience, skills and capabilities</w:t>
            </w:r>
          </w:p>
        </w:tc>
        <w:tc>
          <w:tcPr>
            <w:tcW w:w="10490" w:type="dxa"/>
          </w:tcPr>
          <w:p w14:paraId="0839F2B8" w14:textId="55F5CFD2" w:rsidR="007F6795" w:rsidRPr="007F6795" w:rsidRDefault="007F6795" w:rsidP="007F6795">
            <w:pPr>
              <w:rPr>
                <w:rFonts w:cstheme="minorHAnsi"/>
                <w:sz w:val="24"/>
                <w:szCs w:val="24"/>
              </w:rPr>
            </w:pPr>
            <w:r w:rsidRPr="007F6795">
              <w:rPr>
                <w:rFonts w:cstheme="minorHAnsi"/>
                <w:sz w:val="24"/>
                <w:szCs w:val="24"/>
              </w:rPr>
              <w:t xml:space="preserve">The Company has adopted, and will maintain, governance structures and processes that are fit for purpose. The Board considers that the group’s governance framework is appropriate and in line with its plans and acknowledges that it may evolve over time in parallel with the development of the business. The composition of the Committees and their roles, which are set out in their charters, are available </w:t>
            </w:r>
            <w:hyperlink r:id="rId26" w:history="1">
              <w:r w:rsidRPr="007F6795">
                <w:rPr>
                  <w:rStyle w:val="Hyperlink"/>
                  <w:rFonts w:cstheme="minorHAnsi"/>
                  <w:sz w:val="24"/>
                  <w:szCs w:val="24"/>
                </w:rPr>
                <w:t>here</w:t>
              </w:r>
            </w:hyperlink>
            <w:r w:rsidRPr="007F6795">
              <w:rPr>
                <w:rFonts w:cstheme="minorHAnsi"/>
                <w:sz w:val="24"/>
                <w:szCs w:val="24"/>
              </w:rPr>
              <w:t>.  The Chair of the Board and each of the relevant Committees is as follows:</w:t>
            </w:r>
          </w:p>
          <w:p w14:paraId="3221260E" w14:textId="77777777" w:rsidR="007F6795" w:rsidRPr="007F6795" w:rsidRDefault="007F6795" w:rsidP="007F6795">
            <w:pPr>
              <w:rPr>
                <w:rFonts w:cstheme="minorHAnsi"/>
                <w:sz w:val="24"/>
                <w:szCs w:val="24"/>
              </w:rPr>
            </w:pPr>
          </w:p>
          <w:tbl>
            <w:tblPr>
              <w:tblStyle w:val="TableGrid"/>
              <w:tblW w:w="0" w:type="auto"/>
              <w:tblLayout w:type="fixed"/>
              <w:tblLook w:val="04A0" w:firstRow="1" w:lastRow="0" w:firstColumn="1" w:lastColumn="0" w:noHBand="0" w:noVBand="1"/>
            </w:tblPr>
            <w:tblGrid>
              <w:gridCol w:w="5281"/>
              <w:gridCol w:w="4961"/>
            </w:tblGrid>
            <w:tr w:rsidR="007F6795" w:rsidRPr="007F6795" w14:paraId="2652516D" w14:textId="77777777" w:rsidTr="004D0795">
              <w:tc>
                <w:tcPr>
                  <w:tcW w:w="5281" w:type="dxa"/>
                </w:tcPr>
                <w:p w14:paraId="3CBDBD2E" w14:textId="77777777" w:rsidR="007F6795" w:rsidRPr="007F6795" w:rsidRDefault="007F6795" w:rsidP="007F6795">
                  <w:pPr>
                    <w:rPr>
                      <w:rFonts w:cstheme="minorHAnsi"/>
                      <w:b/>
                      <w:bCs/>
                      <w:sz w:val="24"/>
                      <w:szCs w:val="24"/>
                    </w:rPr>
                  </w:pPr>
                  <w:r w:rsidRPr="007F6795">
                    <w:rPr>
                      <w:rFonts w:cstheme="minorHAnsi"/>
                      <w:b/>
                      <w:bCs/>
                      <w:sz w:val="24"/>
                      <w:szCs w:val="24"/>
                    </w:rPr>
                    <w:t>Body</w:t>
                  </w:r>
                </w:p>
              </w:tc>
              <w:tc>
                <w:tcPr>
                  <w:tcW w:w="4961" w:type="dxa"/>
                </w:tcPr>
                <w:p w14:paraId="560F5C3C" w14:textId="77777777" w:rsidR="007F6795" w:rsidRPr="007F6795" w:rsidRDefault="007F6795" w:rsidP="007F6795">
                  <w:pPr>
                    <w:rPr>
                      <w:rFonts w:cstheme="minorHAnsi"/>
                      <w:b/>
                      <w:bCs/>
                      <w:sz w:val="24"/>
                      <w:szCs w:val="24"/>
                    </w:rPr>
                  </w:pPr>
                  <w:r w:rsidRPr="007F6795">
                    <w:rPr>
                      <w:rFonts w:cstheme="minorHAnsi"/>
                      <w:b/>
                      <w:bCs/>
                      <w:sz w:val="24"/>
                      <w:szCs w:val="24"/>
                    </w:rPr>
                    <w:t>Name</w:t>
                  </w:r>
                </w:p>
              </w:tc>
            </w:tr>
            <w:tr w:rsidR="007F6795" w:rsidRPr="007F6795" w14:paraId="1CD28B18" w14:textId="77777777" w:rsidTr="004D0795">
              <w:tc>
                <w:tcPr>
                  <w:tcW w:w="5281" w:type="dxa"/>
                </w:tcPr>
                <w:p w14:paraId="3F0A7E17" w14:textId="77777777" w:rsidR="007F6795" w:rsidRPr="007F6795" w:rsidRDefault="007F6795" w:rsidP="007F6795">
                  <w:pPr>
                    <w:rPr>
                      <w:rFonts w:cstheme="minorHAnsi"/>
                      <w:sz w:val="24"/>
                      <w:szCs w:val="24"/>
                    </w:rPr>
                  </w:pPr>
                  <w:r w:rsidRPr="007F6795">
                    <w:rPr>
                      <w:rFonts w:cstheme="minorHAnsi"/>
                      <w:sz w:val="24"/>
                      <w:szCs w:val="24"/>
                    </w:rPr>
                    <w:t>Board</w:t>
                  </w:r>
                </w:p>
              </w:tc>
              <w:tc>
                <w:tcPr>
                  <w:tcW w:w="4961" w:type="dxa"/>
                </w:tcPr>
                <w:p w14:paraId="10941ABD" w14:textId="77777777" w:rsidR="007F6795" w:rsidRPr="007F6795" w:rsidRDefault="007F6795" w:rsidP="007F6795">
                  <w:pPr>
                    <w:rPr>
                      <w:rFonts w:cstheme="minorHAnsi"/>
                      <w:sz w:val="24"/>
                      <w:szCs w:val="24"/>
                    </w:rPr>
                  </w:pPr>
                  <w:r w:rsidRPr="007F6795">
                    <w:rPr>
                      <w:rFonts w:cstheme="minorHAnsi"/>
                      <w:sz w:val="24"/>
                      <w:szCs w:val="24"/>
                    </w:rPr>
                    <w:t>John Kelly</w:t>
                  </w:r>
                </w:p>
              </w:tc>
            </w:tr>
            <w:tr w:rsidR="007F6795" w:rsidRPr="007F6795" w14:paraId="3F692F96" w14:textId="77777777" w:rsidTr="004D0795">
              <w:tc>
                <w:tcPr>
                  <w:tcW w:w="5281" w:type="dxa"/>
                </w:tcPr>
                <w:p w14:paraId="542EE7AB" w14:textId="77777777" w:rsidR="007F6795" w:rsidRPr="007F6795" w:rsidRDefault="007F6795" w:rsidP="007F6795">
                  <w:pPr>
                    <w:rPr>
                      <w:rFonts w:cstheme="minorHAnsi"/>
                      <w:sz w:val="24"/>
                      <w:szCs w:val="24"/>
                    </w:rPr>
                  </w:pPr>
                  <w:r w:rsidRPr="007F6795">
                    <w:rPr>
                      <w:rFonts w:cstheme="minorHAnsi"/>
                      <w:sz w:val="24"/>
                      <w:szCs w:val="24"/>
                    </w:rPr>
                    <w:lastRenderedPageBreak/>
                    <w:t>Audit Committee</w:t>
                  </w:r>
                </w:p>
              </w:tc>
              <w:tc>
                <w:tcPr>
                  <w:tcW w:w="4961" w:type="dxa"/>
                </w:tcPr>
                <w:p w14:paraId="267A5DB2" w14:textId="412DD890" w:rsidR="007F6795" w:rsidRPr="007F6795" w:rsidRDefault="00871E6E" w:rsidP="007F6795">
                  <w:pPr>
                    <w:rPr>
                      <w:rFonts w:cstheme="minorHAnsi"/>
                      <w:sz w:val="24"/>
                      <w:szCs w:val="24"/>
                    </w:rPr>
                  </w:pPr>
                  <w:r>
                    <w:rPr>
                      <w:rFonts w:cstheme="minorHAnsi"/>
                      <w:sz w:val="24"/>
                      <w:szCs w:val="24"/>
                    </w:rPr>
                    <w:t>Tariro Gadzikwa</w:t>
                  </w:r>
                </w:p>
              </w:tc>
            </w:tr>
            <w:tr w:rsidR="007F6795" w:rsidRPr="007F6795" w14:paraId="6FAE1ABD" w14:textId="77777777" w:rsidTr="004D0795">
              <w:tc>
                <w:tcPr>
                  <w:tcW w:w="5281" w:type="dxa"/>
                </w:tcPr>
                <w:p w14:paraId="415350A1" w14:textId="77777777" w:rsidR="007F6795" w:rsidRPr="007F6795" w:rsidRDefault="007F6795" w:rsidP="007F6795">
                  <w:pPr>
                    <w:rPr>
                      <w:rFonts w:cstheme="minorHAnsi"/>
                      <w:sz w:val="24"/>
                      <w:szCs w:val="24"/>
                    </w:rPr>
                  </w:pPr>
                  <w:r w:rsidRPr="007F6795">
                    <w:rPr>
                      <w:rFonts w:cstheme="minorHAnsi"/>
                      <w:sz w:val="24"/>
                      <w:szCs w:val="24"/>
                    </w:rPr>
                    <w:t>Technical Committee</w:t>
                  </w:r>
                </w:p>
              </w:tc>
              <w:tc>
                <w:tcPr>
                  <w:tcW w:w="4961" w:type="dxa"/>
                </w:tcPr>
                <w:p w14:paraId="344900BD" w14:textId="3D75E89F" w:rsidR="007F6795" w:rsidRPr="007F6795" w:rsidRDefault="007F6795" w:rsidP="007F6795">
                  <w:pPr>
                    <w:rPr>
                      <w:rFonts w:cstheme="minorHAnsi"/>
                      <w:sz w:val="24"/>
                      <w:szCs w:val="24"/>
                    </w:rPr>
                  </w:pPr>
                  <w:r w:rsidRPr="007F6795">
                    <w:rPr>
                      <w:rFonts w:cstheme="minorHAnsi"/>
                      <w:sz w:val="24"/>
                      <w:szCs w:val="24"/>
                    </w:rPr>
                    <w:t>Nick Clarke</w:t>
                  </w:r>
                </w:p>
              </w:tc>
            </w:tr>
            <w:tr w:rsidR="007F6795" w:rsidRPr="007F6795" w14:paraId="3734B9EB" w14:textId="77777777" w:rsidTr="004D0795">
              <w:tc>
                <w:tcPr>
                  <w:tcW w:w="5281" w:type="dxa"/>
                </w:tcPr>
                <w:p w14:paraId="0544BAD3" w14:textId="77777777" w:rsidR="007F6795" w:rsidRPr="007F6795" w:rsidRDefault="007F6795" w:rsidP="007F6795">
                  <w:pPr>
                    <w:rPr>
                      <w:rFonts w:cstheme="minorHAnsi"/>
                      <w:sz w:val="24"/>
                      <w:szCs w:val="24"/>
                    </w:rPr>
                  </w:pPr>
                  <w:r w:rsidRPr="007F6795">
                    <w:rPr>
                      <w:rFonts w:cstheme="minorHAnsi"/>
                      <w:sz w:val="24"/>
                      <w:szCs w:val="24"/>
                    </w:rPr>
                    <w:t>Strategic Planning Committee</w:t>
                  </w:r>
                </w:p>
              </w:tc>
              <w:tc>
                <w:tcPr>
                  <w:tcW w:w="4961" w:type="dxa"/>
                </w:tcPr>
                <w:p w14:paraId="38BFF55D" w14:textId="77777777" w:rsidR="007F6795" w:rsidRPr="007F6795" w:rsidRDefault="007F6795" w:rsidP="007F6795">
                  <w:pPr>
                    <w:rPr>
                      <w:rFonts w:cstheme="minorHAnsi"/>
                      <w:sz w:val="24"/>
                      <w:szCs w:val="24"/>
                    </w:rPr>
                  </w:pPr>
                  <w:r w:rsidRPr="007F6795">
                    <w:rPr>
                      <w:rFonts w:cstheme="minorHAnsi"/>
                      <w:sz w:val="24"/>
                      <w:szCs w:val="24"/>
                    </w:rPr>
                    <w:t>John Kelly</w:t>
                  </w:r>
                </w:p>
              </w:tc>
            </w:tr>
            <w:tr w:rsidR="007F6795" w:rsidRPr="007F6795" w14:paraId="4AE853A8" w14:textId="77777777" w:rsidTr="004D0795">
              <w:tc>
                <w:tcPr>
                  <w:tcW w:w="5281" w:type="dxa"/>
                </w:tcPr>
                <w:p w14:paraId="7CCD2AA2" w14:textId="77777777" w:rsidR="007F6795" w:rsidRPr="007F6795" w:rsidRDefault="007F6795" w:rsidP="007F6795">
                  <w:pPr>
                    <w:rPr>
                      <w:rFonts w:cstheme="minorHAnsi"/>
                      <w:sz w:val="24"/>
                      <w:szCs w:val="24"/>
                    </w:rPr>
                  </w:pPr>
                  <w:r w:rsidRPr="007F6795">
                    <w:rPr>
                      <w:rFonts w:cstheme="minorHAnsi"/>
                      <w:sz w:val="24"/>
                      <w:szCs w:val="24"/>
                    </w:rPr>
                    <w:t>Nomination and Corporate Governance Committee</w:t>
                  </w:r>
                </w:p>
              </w:tc>
              <w:tc>
                <w:tcPr>
                  <w:tcW w:w="4961" w:type="dxa"/>
                </w:tcPr>
                <w:p w14:paraId="65E986E1" w14:textId="77777777" w:rsidR="007F6795" w:rsidRPr="007F6795" w:rsidRDefault="007F6795" w:rsidP="007F6795">
                  <w:pPr>
                    <w:rPr>
                      <w:rFonts w:cstheme="minorHAnsi"/>
                      <w:sz w:val="24"/>
                      <w:szCs w:val="24"/>
                    </w:rPr>
                  </w:pPr>
                  <w:r w:rsidRPr="007F6795">
                    <w:rPr>
                      <w:rFonts w:cstheme="minorHAnsi"/>
                      <w:sz w:val="24"/>
                      <w:szCs w:val="24"/>
                    </w:rPr>
                    <w:t>John Kelly</w:t>
                  </w:r>
                </w:p>
              </w:tc>
            </w:tr>
            <w:tr w:rsidR="007F6795" w:rsidRPr="007F6795" w14:paraId="09420FD6" w14:textId="77777777" w:rsidTr="004D0795">
              <w:tc>
                <w:tcPr>
                  <w:tcW w:w="5281" w:type="dxa"/>
                </w:tcPr>
                <w:p w14:paraId="4DDE3FC7" w14:textId="77777777" w:rsidR="007F6795" w:rsidRPr="007F6795" w:rsidRDefault="007F6795" w:rsidP="007F6795">
                  <w:pPr>
                    <w:rPr>
                      <w:rFonts w:cstheme="minorHAnsi"/>
                      <w:sz w:val="24"/>
                      <w:szCs w:val="24"/>
                    </w:rPr>
                  </w:pPr>
                  <w:r w:rsidRPr="007F6795">
                    <w:rPr>
                      <w:rFonts w:cstheme="minorHAnsi"/>
                      <w:sz w:val="24"/>
                      <w:szCs w:val="24"/>
                    </w:rPr>
                    <w:t>Compensation Committee</w:t>
                  </w:r>
                </w:p>
              </w:tc>
              <w:tc>
                <w:tcPr>
                  <w:tcW w:w="4961" w:type="dxa"/>
                </w:tcPr>
                <w:p w14:paraId="624196C6" w14:textId="77777777" w:rsidR="007F6795" w:rsidRPr="007F6795" w:rsidRDefault="007F6795" w:rsidP="007F6795">
                  <w:pPr>
                    <w:rPr>
                      <w:rFonts w:cstheme="minorHAnsi"/>
                      <w:sz w:val="24"/>
                      <w:szCs w:val="24"/>
                    </w:rPr>
                  </w:pPr>
                  <w:r w:rsidRPr="007F6795">
                    <w:rPr>
                      <w:rFonts w:cstheme="minorHAnsi"/>
                      <w:sz w:val="24"/>
                      <w:szCs w:val="24"/>
                    </w:rPr>
                    <w:t>Gordon Wylie</w:t>
                  </w:r>
                </w:p>
              </w:tc>
            </w:tr>
            <w:tr w:rsidR="007F6795" w:rsidRPr="007F6795" w14:paraId="01C6A719" w14:textId="77777777" w:rsidTr="004D0795">
              <w:tc>
                <w:tcPr>
                  <w:tcW w:w="5281" w:type="dxa"/>
                </w:tcPr>
                <w:p w14:paraId="4666396B" w14:textId="77777777" w:rsidR="007F6795" w:rsidRPr="007F6795" w:rsidRDefault="007F6795" w:rsidP="007F6795">
                  <w:pPr>
                    <w:rPr>
                      <w:rFonts w:cstheme="minorHAnsi"/>
                      <w:sz w:val="24"/>
                      <w:szCs w:val="24"/>
                    </w:rPr>
                  </w:pPr>
                  <w:r w:rsidRPr="007F6795">
                    <w:rPr>
                      <w:rFonts w:cstheme="minorHAnsi"/>
                      <w:sz w:val="24"/>
                      <w:szCs w:val="24"/>
                    </w:rPr>
                    <w:t>ESG Committee</w:t>
                  </w:r>
                </w:p>
              </w:tc>
              <w:tc>
                <w:tcPr>
                  <w:tcW w:w="4961" w:type="dxa"/>
                </w:tcPr>
                <w:p w14:paraId="5AB58BF2" w14:textId="77777777" w:rsidR="007F6795" w:rsidRPr="007F6795" w:rsidRDefault="007F6795" w:rsidP="007F6795">
                  <w:pPr>
                    <w:rPr>
                      <w:rFonts w:cstheme="minorHAnsi"/>
                      <w:sz w:val="24"/>
                      <w:szCs w:val="24"/>
                    </w:rPr>
                  </w:pPr>
                  <w:r w:rsidRPr="007F6795">
                    <w:rPr>
                      <w:rFonts w:cstheme="minorHAnsi"/>
                      <w:sz w:val="24"/>
                      <w:szCs w:val="24"/>
                    </w:rPr>
                    <w:t>Geralda Wildschutt</w:t>
                  </w:r>
                </w:p>
              </w:tc>
            </w:tr>
          </w:tbl>
          <w:p w14:paraId="66EFE735" w14:textId="77777777" w:rsidR="007F6795" w:rsidRDefault="007F6795" w:rsidP="00E02AB5">
            <w:pPr>
              <w:rPr>
                <w:rFonts w:cstheme="minorHAnsi"/>
                <w:sz w:val="24"/>
                <w:szCs w:val="24"/>
              </w:rPr>
            </w:pPr>
          </w:p>
          <w:p w14:paraId="1399C7E3" w14:textId="73212F7A" w:rsidR="00E02AB5" w:rsidRDefault="00E02AB5" w:rsidP="00E02AB5">
            <w:pPr>
              <w:rPr>
                <w:rFonts w:cstheme="minorHAnsi"/>
                <w:sz w:val="24"/>
                <w:szCs w:val="24"/>
              </w:rPr>
            </w:pPr>
            <w:r w:rsidRPr="00E57C84">
              <w:rPr>
                <w:rFonts w:cstheme="minorHAnsi"/>
                <w:sz w:val="24"/>
                <w:szCs w:val="24"/>
              </w:rPr>
              <w:t>Directors who have been appointed to the Board have been chosen because of the skills and experience they offer. The Board has strong, relevant experience across the areas of mining</w:t>
            </w:r>
            <w:r w:rsidR="00C17E05">
              <w:rPr>
                <w:rFonts w:cstheme="minorHAnsi"/>
                <w:sz w:val="24"/>
                <w:szCs w:val="24"/>
              </w:rPr>
              <w:t xml:space="preserve"> engineering, geology</w:t>
            </w:r>
            <w:r w:rsidRPr="00E57C84">
              <w:rPr>
                <w:rFonts w:cstheme="minorHAnsi"/>
                <w:sz w:val="24"/>
                <w:szCs w:val="24"/>
              </w:rPr>
              <w:t>, accounting</w:t>
            </w:r>
            <w:r w:rsidR="009C3722">
              <w:rPr>
                <w:rFonts w:cstheme="minorHAnsi"/>
                <w:sz w:val="24"/>
                <w:szCs w:val="24"/>
              </w:rPr>
              <w:t>,</w:t>
            </w:r>
            <w:r w:rsidRPr="00E57C84">
              <w:rPr>
                <w:rFonts w:cstheme="minorHAnsi"/>
                <w:sz w:val="24"/>
                <w:szCs w:val="24"/>
              </w:rPr>
              <w:t xml:space="preserve"> investment banking</w:t>
            </w:r>
            <w:r w:rsidR="009C3722" w:rsidRPr="00E57C84">
              <w:rPr>
                <w:rFonts w:cstheme="minorHAnsi"/>
                <w:sz w:val="24"/>
                <w:szCs w:val="24"/>
              </w:rPr>
              <w:t xml:space="preserve"> and</w:t>
            </w:r>
            <w:r w:rsidR="009C3722">
              <w:rPr>
                <w:rFonts w:cstheme="minorHAnsi"/>
                <w:sz w:val="24"/>
                <w:szCs w:val="24"/>
              </w:rPr>
              <w:t xml:space="preserve"> </w:t>
            </w:r>
            <w:r w:rsidR="00FC7446">
              <w:rPr>
                <w:rFonts w:cstheme="minorHAnsi"/>
                <w:sz w:val="24"/>
                <w:szCs w:val="24"/>
              </w:rPr>
              <w:t>ESG</w:t>
            </w:r>
            <w:r w:rsidRPr="00E57C84">
              <w:rPr>
                <w:rFonts w:cstheme="minorHAnsi"/>
                <w:sz w:val="24"/>
                <w:szCs w:val="24"/>
              </w:rPr>
              <w:t>.</w:t>
            </w:r>
          </w:p>
          <w:p w14:paraId="6358BF5C" w14:textId="77777777" w:rsidR="006D18D5" w:rsidRDefault="006D18D5" w:rsidP="00E02AB5">
            <w:pPr>
              <w:rPr>
                <w:rFonts w:cstheme="minorHAnsi"/>
                <w:sz w:val="24"/>
                <w:szCs w:val="24"/>
              </w:rPr>
            </w:pPr>
          </w:p>
          <w:p w14:paraId="76451CA7" w14:textId="5DD664AD" w:rsidR="006D18D5" w:rsidRPr="00E57C84" w:rsidRDefault="006D18D5" w:rsidP="00E02AB5">
            <w:pPr>
              <w:rPr>
                <w:rFonts w:cstheme="minorHAnsi"/>
                <w:sz w:val="24"/>
                <w:szCs w:val="24"/>
              </w:rPr>
            </w:pPr>
            <w:r>
              <w:rPr>
                <w:rFonts w:cstheme="minorHAnsi"/>
                <w:sz w:val="24"/>
                <w:szCs w:val="24"/>
              </w:rPr>
              <w:t xml:space="preserve">The roles and responsibilities of the </w:t>
            </w:r>
            <w:r w:rsidR="003E7585">
              <w:rPr>
                <w:rFonts w:cstheme="minorHAnsi"/>
                <w:sz w:val="24"/>
                <w:szCs w:val="24"/>
              </w:rPr>
              <w:t xml:space="preserve">Board, the </w:t>
            </w:r>
            <w:r>
              <w:rPr>
                <w:rFonts w:cstheme="minorHAnsi"/>
                <w:sz w:val="24"/>
                <w:szCs w:val="24"/>
              </w:rPr>
              <w:t xml:space="preserve">Chair, </w:t>
            </w:r>
            <w:r w:rsidR="003E7585">
              <w:rPr>
                <w:rFonts w:cstheme="minorHAnsi"/>
                <w:sz w:val="24"/>
                <w:szCs w:val="24"/>
              </w:rPr>
              <w:t xml:space="preserve">the </w:t>
            </w:r>
            <w:r>
              <w:rPr>
                <w:rFonts w:cstheme="minorHAnsi"/>
                <w:sz w:val="24"/>
                <w:szCs w:val="24"/>
              </w:rPr>
              <w:t>CEO</w:t>
            </w:r>
            <w:r w:rsidR="001551F8">
              <w:rPr>
                <w:rFonts w:cstheme="minorHAnsi"/>
                <w:sz w:val="24"/>
                <w:szCs w:val="24"/>
              </w:rPr>
              <w:t>, the Committees and their</w:t>
            </w:r>
            <w:r>
              <w:rPr>
                <w:rFonts w:cstheme="minorHAnsi"/>
                <w:sz w:val="24"/>
                <w:szCs w:val="24"/>
              </w:rPr>
              <w:t xml:space="preserve"> </w:t>
            </w:r>
            <w:r w:rsidR="00562240">
              <w:rPr>
                <w:rFonts w:cstheme="minorHAnsi"/>
                <w:sz w:val="24"/>
                <w:szCs w:val="24"/>
              </w:rPr>
              <w:t xml:space="preserve">chairs and members are set out in </w:t>
            </w:r>
            <w:r w:rsidR="00E244BE">
              <w:rPr>
                <w:rFonts w:cstheme="minorHAnsi"/>
                <w:sz w:val="24"/>
                <w:szCs w:val="24"/>
              </w:rPr>
              <w:t xml:space="preserve">the </w:t>
            </w:r>
            <w:r w:rsidR="00562240">
              <w:rPr>
                <w:rFonts w:cstheme="minorHAnsi"/>
                <w:sz w:val="24"/>
                <w:szCs w:val="24"/>
              </w:rPr>
              <w:t xml:space="preserve">charters, which can be found </w:t>
            </w:r>
            <w:hyperlink r:id="rId27" w:history="1">
              <w:r w:rsidR="00562240" w:rsidRPr="00AA03F3">
                <w:rPr>
                  <w:rStyle w:val="Hyperlink"/>
                  <w:rFonts w:cstheme="minorHAnsi"/>
                  <w:sz w:val="24"/>
                  <w:szCs w:val="24"/>
                </w:rPr>
                <w:t>here</w:t>
              </w:r>
            </w:hyperlink>
            <w:r w:rsidR="00562240">
              <w:rPr>
                <w:rFonts w:cstheme="minorHAnsi"/>
                <w:sz w:val="24"/>
                <w:szCs w:val="24"/>
              </w:rPr>
              <w:t>.</w:t>
            </w:r>
          </w:p>
          <w:p w14:paraId="5024F43F" w14:textId="77777777" w:rsidR="00E02AB5" w:rsidRPr="00E57C84" w:rsidRDefault="00E02AB5" w:rsidP="00E02AB5">
            <w:pPr>
              <w:rPr>
                <w:rFonts w:cstheme="minorHAnsi"/>
                <w:sz w:val="24"/>
                <w:szCs w:val="24"/>
              </w:rPr>
            </w:pPr>
          </w:p>
          <w:p w14:paraId="348C6DED" w14:textId="415168A3" w:rsidR="00410A6F" w:rsidRPr="00E57C84" w:rsidRDefault="00E02AB5" w:rsidP="00A71FF7">
            <w:pPr>
              <w:rPr>
                <w:rFonts w:cstheme="minorHAnsi"/>
                <w:sz w:val="24"/>
                <w:szCs w:val="24"/>
              </w:rPr>
            </w:pPr>
            <w:r w:rsidRPr="00E57C84">
              <w:rPr>
                <w:rFonts w:cstheme="minorHAnsi"/>
                <w:sz w:val="24"/>
                <w:szCs w:val="24"/>
              </w:rPr>
              <w:t xml:space="preserve">The Board is satisfied that, between the Directors, it has an effective and appropriate balance of skills and experience, including in particular in the areas of gold mining and exploration. </w:t>
            </w:r>
            <w:r w:rsidR="00A71FF7" w:rsidRPr="00E57C84">
              <w:rPr>
                <w:rFonts w:cstheme="minorHAnsi"/>
                <w:sz w:val="24"/>
                <w:szCs w:val="24"/>
              </w:rPr>
              <w:t>Skills and knowledge have been gained through aggregated experience in gold mining and the wider sector and these are maintained through ongoing involvement and participation within the industry.</w:t>
            </w:r>
          </w:p>
          <w:p w14:paraId="7BB31160" w14:textId="77777777" w:rsidR="00A71FF7" w:rsidRDefault="00A71FF7" w:rsidP="00E02AB5">
            <w:pPr>
              <w:rPr>
                <w:rFonts w:cstheme="minorHAnsi"/>
                <w:sz w:val="24"/>
                <w:szCs w:val="24"/>
              </w:rPr>
            </w:pPr>
          </w:p>
          <w:p w14:paraId="4082AADF" w14:textId="29CE8684" w:rsidR="00E02AB5" w:rsidRPr="00E57C84" w:rsidRDefault="00E02AB5" w:rsidP="00E02AB5">
            <w:pPr>
              <w:rPr>
                <w:rFonts w:cstheme="minorHAnsi"/>
                <w:sz w:val="24"/>
                <w:szCs w:val="24"/>
              </w:rPr>
            </w:pPr>
            <w:r w:rsidRPr="00E57C84">
              <w:rPr>
                <w:rFonts w:cstheme="minorHAnsi"/>
                <w:sz w:val="24"/>
                <w:szCs w:val="24"/>
              </w:rPr>
              <w:t xml:space="preserve">All </w:t>
            </w:r>
            <w:r w:rsidR="00A71FF7" w:rsidRPr="00E57C84">
              <w:rPr>
                <w:rFonts w:cstheme="minorHAnsi"/>
                <w:sz w:val="24"/>
                <w:szCs w:val="24"/>
              </w:rPr>
              <w:t xml:space="preserve">Directors </w:t>
            </w:r>
            <w:r w:rsidRPr="00E57C84">
              <w:rPr>
                <w:rFonts w:cstheme="minorHAnsi"/>
                <w:sz w:val="24"/>
                <w:szCs w:val="24"/>
              </w:rPr>
              <w:t xml:space="preserve">receive regular and timely information on the </w:t>
            </w:r>
            <w:r w:rsidR="00A71FF7">
              <w:rPr>
                <w:rFonts w:cstheme="minorHAnsi"/>
                <w:sz w:val="24"/>
                <w:szCs w:val="24"/>
              </w:rPr>
              <w:t>g</w:t>
            </w:r>
            <w:r w:rsidRPr="00E57C84">
              <w:rPr>
                <w:rFonts w:cstheme="minorHAnsi"/>
                <w:sz w:val="24"/>
                <w:szCs w:val="24"/>
              </w:rPr>
              <w:t xml:space="preserve">roup’s operational and financial performance. </w:t>
            </w:r>
          </w:p>
          <w:p w14:paraId="2869E037" w14:textId="00CB7547" w:rsidR="005B26DA" w:rsidRPr="00E57C84" w:rsidRDefault="005B26DA" w:rsidP="00E02AB5">
            <w:pPr>
              <w:rPr>
                <w:rFonts w:cstheme="minorHAnsi"/>
                <w:sz w:val="24"/>
                <w:szCs w:val="24"/>
              </w:rPr>
            </w:pPr>
          </w:p>
          <w:p w14:paraId="185EC95C" w14:textId="3FC45E42" w:rsidR="005B26DA" w:rsidRPr="00E57C84" w:rsidRDefault="005B26DA" w:rsidP="00E02AB5">
            <w:pPr>
              <w:rPr>
                <w:rFonts w:cstheme="minorHAnsi"/>
                <w:sz w:val="24"/>
                <w:szCs w:val="24"/>
              </w:rPr>
            </w:pPr>
            <w:r w:rsidRPr="00E57C84">
              <w:rPr>
                <w:rFonts w:cstheme="minorHAnsi"/>
                <w:sz w:val="24"/>
                <w:szCs w:val="24"/>
              </w:rPr>
              <w:t xml:space="preserve">The Board regularly retains the services of advisors to provide guidance in the areas of mining, financial </w:t>
            </w:r>
            <w:r w:rsidR="00FE1D22">
              <w:rPr>
                <w:rFonts w:cstheme="minorHAnsi"/>
                <w:sz w:val="24"/>
                <w:szCs w:val="24"/>
              </w:rPr>
              <w:t>markets, acquisitions,</w:t>
            </w:r>
            <w:r w:rsidRPr="00E57C84">
              <w:rPr>
                <w:rFonts w:cstheme="minorHAnsi"/>
                <w:sz w:val="24"/>
                <w:szCs w:val="24"/>
              </w:rPr>
              <w:t xml:space="preserve"> </w:t>
            </w:r>
            <w:r w:rsidR="009B7FA7">
              <w:rPr>
                <w:rFonts w:cstheme="minorHAnsi"/>
                <w:sz w:val="24"/>
                <w:szCs w:val="24"/>
              </w:rPr>
              <w:t>ESG</w:t>
            </w:r>
            <w:r w:rsidR="00AE1E75">
              <w:rPr>
                <w:rFonts w:cstheme="minorHAnsi"/>
                <w:sz w:val="24"/>
                <w:szCs w:val="24"/>
              </w:rPr>
              <w:t>, compensation</w:t>
            </w:r>
            <w:r w:rsidR="009B7FA7">
              <w:rPr>
                <w:rFonts w:cstheme="minorHAnsi"/>
                <w:sz w:val="24"/>
                <w:szCs w:val="24"/>
              </w:rPr>
              <w:t xml:space="preserve"> </w:t>
            </w:r>
            <w:r w:rsidRPr="00E57C84">
              <w:rPr>
                <w:rFonts w:cstheme="minorHAnsi"/>
                <w:sz w:val="24"/>
                <w:szCs w:val="24"/>
              </w:rPr>
              <w:t xml:space="preserve">and </w:t>
            </w:r>
            <w:r w:rsidR="00FE1D22">
              <w:rPr>
                <w:rFonts w:cstheme="minorHAnsi"/>
                <w:sz w:val="24"/>
                <w:szCs w:val="24"/>
              </w:rPr>
              <w:t>law</w:t>
            </w:r>
            <w:r w:rsidRPr="00E57C84">
              <w:rPr>
                <w:rFonts w:cstheme="minorHAnsi"/>
                <w:sz w:val="24"/>
                <w:szCs w:val="24"/>
              </w:rPr>
              <w:t xml:space="preserve">.  </w:t>
            </w:r>
            <w:r w:rsidR="002E3257">
              <w:rPr>
                <w:rFonts w:cstheme="minorHAnsi"/>
                <w:sz w:val="24"/>
                <w:szCs w:val="24"/>
              </w:rPr>
              <w:t xml:space="preserve">The Company’s AIM Nominated Advisor provides training on </w:t>
            </w:r>
            <w:r w:rsidR="008250E8">
              <w:rPr>
                <w:rFonts w:cstheme="minorHAnsi"/>
                <w:sz w:val="24"/>
                <w:szCs w:val="24"/>
              </w:rPr>
              <w:t xml:space="preserve">AIM rules and other </w:t>
            </w:r>
            <w:r w:rsidR="00C70A7E">
              <w:rPr>
                <w:rFonts w:cstheme="minorHAnsi"/>
                <w:sz w:val="24"/>
                <w:szCs w:val="24"/>
              </w:rPr>
              <w:t xml:space="preserve">corporate </w:t>
            </w:r>
            <w:r w:rsidR="008250E8">
              <w:rPr>
                <w:rFonts w:cstheme="minorHAnsi"/>
                <w:sz w:val="24"/>
                <w:szCs w:val="24"/>
              </w:rPr>
              <w:t>matters.</w:t>
            </w:r>
            <w:r w:rsidR="00080982">
              <w:rPr>
                <w:rFonts w:cstheme="minorHAnsi"/>
                <w:sz w:val="24"/>
                <w:szCs w:val="24"/>
              </w:rPr>
              <w:t xml:space="preserve">  </w:t>
            </w:r>
            <w:r w:rsidR="004247DC" w:rsidRPr="004247DC">
              <w:rPr>
                <w:rFonts w:cstheme="minorHAnsi"/>
                <w:sz w:val="24"/>
                <w:szCs w:val="24"/>
              </w:rPr>
              <w:t xml:space="preserve">Deloitte Consulting (Pty) Ltd </w:t>
            </w:r>
            <w:r w:rsidR="00080982">
              <w:rPr>
                <w:rFonts w:cstheme="minorHAnsi"/>
                <w:sz w:val="24"/>
                <w:szCs w:val="24"/>
              </w:rPr>
              <w:t xml:space="preserve">is engaged to provide detailed </w:t>
            </w:r>
            <w:r w:rsidR="00A779B9">
              <w:rPr>
                <w:rFonts w:cstheme="minorHAnsi"/>
                <w:sz w:val="24"/>
                <w:szCs w:val="24"/>
              </w:rPr>
              <w:t>guidance</w:t>
            </w:r>
            <w:r w:rsidR="00080982">
              <w:rPr>
                <w:rFonts w:cstheme="minorHAnsi"/>
                <w:sz w:val="24"/>
                <w:szCs w:val="24"/>
              </w:rPr>
              <w:t xml:space="preserve"> </w:t>
            </w:r>
            <w:r w:rsidR="00A779B9">
              <w:rPr>
                <w:rFonts w:cstheme="minorHAnsi"/>
                <w:sz w:val="24"/>
                <w:szCs w:val="24"/>
              </w:rPr>
              <w:t xml:space="preserve">on remuneration </w:t>
            </w:r>
            <w:r w:rsidR="004247DC">
              <w:rPr>
                <w:rFonts w:cstheme="minorHAnsi"/>
                <w:sz w:val="24"/>
                <w:szCs w:val="24"/>
              </w:rPr>
              <w:t>policies</w:t>
            </w:r>
            <w:r w:rsidR="00A779B9">
              <w:rPr>
                <w:rFonts w:cstheme="minorHAnsi"/>
                <w:sz w:val="24"/>
                <w:szCs w:val="24"/>
              </w:rPr>
              <w:t xml:space="preserve"> and market trends </w:t>
            </w:r>
            <w:r w:rsidR="00080982">
              <w:rPr>
                <w:rFonts w:cstheme="minorHAnsi"/>
                <w:sz w:val="24"/>
                <w:szCs w:val="24"/>
              </w:rPr>
              <w:t xml:space="preserve">to the </w:t>
            </w:r>
            <w:r w:rsidR="00A779B9">
              <w:rPr>
                <w:rFonts w:cstheme="minorHAnsi"/>
                <w:sz w:val="24"/>
                <w:szCs w:val="24"/>
              </w:rPr>
              <w:t>Compensation</w:t>
            </w:r>
            <w:r w:rsidR="00080982">
              <w:rPr>
                <w:rFonts w:cstheme="minorHAnsi"/>
                <w:sz w:val="24"/>
                <w:szCs w:val="24"/>
              </w:rPr>
              <w:t xml:space="preserve"> Committee.</w:t>
            </w:r>
          </w:p>
          <w:p w14:paraId="68F34D28" w14:textId="77777777" w:rsidR="00E02AB5" w:rsidRPr="00E57C84" w:rsidRDefault="00E02AB5" w:rsidP="00E02AB5">
            <w:pPr>
              <w:rPr>
                <w:rFonts w:cstheme="minorHAnsi"/>
                <w:sz w:val="24"/>
                <w:szCs w:val="24"/>
              </w:rPr>
            </w:pPr>
          </w:p>
          <w:p w14:paraId="11B55B2E" w14:textId="2C2ADB7B" w:rsidR="00E02AB5" w:rsidRPr="00E57C84" w:rsidRDefault="00E02AB5" w:rsidP="00E02AB5">
            <w:pPr>
              <w:rPr>
                <w:rFonts w:cstheme="minorHAnsi"/>
                <w:sz w:val="24"/>
                <w:szCs w:val="24"/>
              </w:rPr>
            </w:pPr>
            <w:r w:rsidRPr="00E57C84">
              <w:rPr>
                <w:rFonts w:cstheme="minorHAnsi"/>
                <w:sz w:val="24"/>
                <w:szCs w:val="24"/>
              </w:rPr>
              <w:t xml:space="preserve">The </w:t>
            </w:r>
            <w:r w:rsidR="00F12C14" w:rsidRPr="00E57C84">
              <w:rPr>
                <w:rFonts w:cstheme="minorHAnsi"/>
                <w:sz w:val="24"/>
                <w:szCs w:val="24"/>
              </w:rPr>
              <w:t>Company’s General Counsel</w:t>
            </w:r>
            <w:r w:rsidR="00FF7A36">
              <w:rPr>
                <w:rFonts w:cstheme="minorHAnsi"/>
                <w:sz w:val="24"/>
                <w:szCs w:val="24"/>
              </w:rPr>
              <w:t xml:space="preserve"> </w:t>
            </w:r>
            <w:r w:rsidR="00F12C14" w:rsidRPr="00E57C84">
              <w:rPr>
                <w:rFonts w:cstheme="minorHAnsi"/>
                <w:sz w:val="24"/>
                <w:szCs w:val="24"/>
              </w:rPr>
              <w:t xml:space="preserve">and Head of Risk and Compliance </w:t>
            </w:r>
            <w:r w:rsidRPr="00E57C84">
              <w:rPr>
                <w:rFonts w:cstheme="minorHAnsi"/>
                <w:sz w:val="24"/>
                <w:szCs w:val="24"/>
              </w:rPr>
              <w:t>is tasked with ensuring that the business is compliant with relevant legislation and regulatory requirements, and keeps the Board informed of its legal responsibilities.</w:t>
            </w:r>
          </w:p>
        </w:tc>
      </w:tr>
      <w:tr w:rsidR="00800362" w:rsidRPr="00E57C84" w14:paraId="33AE7A4E" w14:textId="77777777" w:rsidTr="00221CE9">
        <w:tc>
          <w:tcPr>
            <w:tcW w:w="562" w:type="dxa"/>
          </w:tcPr>
          <w:p w14:paraId="708B5262" w14:textId="77777777" w:rsidR="008818B1" w:rsidRPr="00E57C84" w:rsidRDefault="008818B1" w:rsidP="008818B1">
            <w:pPr>
              <w:pStyle w:val="ListParagraph"/>
              <w:numPr>
                <w:ilvl w:val="0"/>
                <w:numId w:val="1"/>
              </w:numPr>
              <w:ind w:left="306" w:hanging="284"/>
              <w:rPr>
                <w:rFonts w:cstheme="minorHAnsi"/>
                <w:color w:val="000000"/>
                <w:sz w:val="24"/>
                <w:szCs w:val="24"/>
              </w:rPr>
            </w:pPr>
          </w:p>
        </w:tc>
        <w:tc>
          <w:tcPr>
            <w:tcW w:w="2977" w:type="dxa"/>
          </w:tcPr>
          <w:p w14:paraId="6FABCAFB" w14:textId="5BAC0010" w:rsidR="008818B1" w:rsidRPr="00E57C84" w:rsidRDefault="008818B1" w:rsidP="008818B1">
            <w:pPr>
              <w:rPr>
                <w:rFonts w:cstheme="minorHAnsi"/>
                <w:sz w:val="24"/>
                <w:szCs w:val="24"/>
              </w:rPr>
            </w:pPr>
            <w:r w:rsidRPr="00E57C84">
              <w:rPr>
                <w:rFonts w:cstheme="minorHAnsi"/>
                <w:color w:val="000000"/>
                <w:sz w:val="24"/>
                <w:szCs w:val="24"/>
              </w:rPr>
              <w:t>Evaluate board performance based on clear and relevant objectives, seeking continuous improvement</w:t>
            </w:r>
          </w:p>
        </w:tc>
        <w:tc>
          <w:tcPr>
            <w:tcW w:w="10490" w:type="dxa"/>
          </w:tcPr>
          <w:p w14:paraId="6C81C179" w14:textId="6FC0E201" w:rsidR="00027FB8" w:rsidRDefault="00F12C14" w:rsidP="00BC50DB">
            <w:pPr>
              <w:rPr>
                <w:rFonts w:cstheme="minorHAnsi"/>
                <w:sz w:val="24"/>
                <w:szCs w:val="24"/>
              </w:rPr>
            </w:pPr>
            <w:r w:rsidRPr="00E57C84">
              <w:rPr>
                <w:rFonts w:cstheme="minorHAnsi"/>
                <w:sz w:val="24"/>
                <w:szCs w:val="24"/>
              </w:rPr>
              <w:t xml:space="preserve">The Company continually monitors </w:t>
            </w:r>
            <w:r w:rsidR="00A7594A">
              <w:rPr>
                <w:rFonts w:cstheme="minorHAnsi"/>
                <w:sz w:val="24"/>
                <w:szCs w:val="24"/>
              </w:rPr>
              <w:t>the</w:t>
            </w:r>
            <w:r w:rsidRPr="00E57C84">
              <w:rPr>
                <w:rFonts w:cstheme="minorHAnsi"/>
                <w:sz w:val="24"/>
                <w:szCs w:val="24"/>
              </w:rPr>
              <w:t xml:space="preserve"> performance of </w:t>
            </w:r>
            <w:r w:rsidR="00A7594A" w:rsidRPr="00E57C84">
              <w:rPr>
                <w:rFonts w:cstheme="minorHAnsi"/>
                <w:sz w:val="24"/>
                <w:szCs w:val="24"/>
              </w:rPr>
              <w:t>all</w:t>
            </w:r>
            <w:r w:rsidRPr="00E57C84">
              <w:rPr>
                <w:rFonts w:cstheme="minorHAnsi"/>
                <w:sz w:val="24"/>
                <w:szCs w:val="24"/>
              </w:rPr>
              <w:t xml:space="preserve"> its employees and </w:t>
            </w:r>
            <w:r w:rsidR="00B7184C" w:rsidRPr="00E57C84">
              <w:rPr>
                <w:rFonts w:cstheme="minorHAnsi"/>
                <w:sz w:val="24"/>
                <w:szCs w:val="24"/>
              </w:rPr>
              <w:t>Directors</w:t>
            </w:r>
            <w:r w:rsidRPr="00E57C84">
              <w:rPr>
                <w:rFonts w:cstheme="minorHAnsi"/>
                <w:sz w:val="24"/>
                <w:szCs w:val="24"/>
              </w:rPr>
              <w:t xml:space="preserve">. </w:t>
            </w:r>
            <w:r w:rsidR="00241AA0" w:rsidRPr="00241AA0">
              <w:rPr>
                <w:rFonts w:cstheme="minorHAnsi"/>
                <w:sz w:val="24"/>
                <w:szCs w:val="24"/>
              </w:rPr>
              <w:t>Agreed personal objectives and targets, including financial and non-financial metrics, are set each year for the executive Directors and performance is measured against these metrics.</w:t>
            </w:r>
            <w:r w:rsidR="00027FB8">
              <w:rPr>
                <w:rFonts w:cstheme="minorHAnsi"/>
                <w:sz w:val="24"/>
                <w:szCs w:val="24"/>
              </w:rPr>
              <w:t xml:space="preserve"> </w:t>
            </w:r>
          </w:p>
          <w:p w14:paraId="0C370E69" w14:textId="77777777" w:rsidR="00027FB8" w:rsidRDefault="00027FB8" w:rsidP="00BC50DB">
            <w:pPr>
              <w:rPr>
                <w:rFonts w:cstheme="minorHAnsi"/>
                <w:sz w:val="24"/>
                <w:szCs w:val="24"/>
              </w:rPr>
            </w:pPr>
          </w:p>
          <w:p w14:paraId="68E65D18" w14:textId="0332C88A" w:rsidR="00BC50DB" w:rsidRPr="00E57C84" w:rsidRDefault="00BC50DB" w:rsidP="00BC50DB">
            <w:pPr>
              <w:rPr>
                <w:rFonts w:cstheme="minorHAnsi"/>
                <w:sz w:val="24"/>
                <w:szCs w:val="24"/>
              </w:rPr>
            </w:pPr>
            <w:r w:rsidRPr="00E57C84">
              <w:rPr>
                <w:rFonts w:cstheme="minorHAnsi"/>
                <w:sz w:val="24"/>
                <w:szCs w:val="24"/>
              </w:rPr>
              <w:t>Regularly scheduled Technical</w:t>
            </w:r>
            <w:r w:rsidR="00FD73DC">
              <w:rPr>
                <w:rFonts w:cstheme="minorHAnsi"/>
                <w:sz w:val="24"/>
                <w:szCs w:val="24"/>
              </w:rPr>
              <w:t xml:space="preserve"> Committee</w:t>
            </w:r>
            <w:r w:rsidRPr="00E57C84">
              <w:rPr>
                <w:rFonts w:cstheme="minorHAnsi"/>
                <w:sz w:val="24"/>
                <w:szCs w:val="24"/>
              </w:rPr>
              <w:t xml:space="preserve">, </w:t>
            </w:r>
            <w:r w:rsidR="006B4699">
              <w:rPr>
                <w:rFonts w:cstheme="minorHAnsi"/>
                <w:sz w:val="24"/>
                <w:szCs w:val="24"/>
              </w:rPr>
              <w:t xml:space="preserve">ESG </w:t>
            </w:r>
            <w:r w:rsidR="00FD73DC">
              <w:rPr>
                <w:rFonts w:cstheme="minorHAnsi"/>
                <w:sz w:val="24"/>
                <w:szCs w:val="24"/>
              </w:rPr>
              <w:t>Committee</w:t>
            </w:r>
            <w:r w:rsidR="00974406">
              <w:rPr>
                <w:rFonts w:cstheme="minorHAnsi"/>
                <w:sz w:val="24"/>
                <w:szCs w:val="24"/>
              </w:rPr>
              <w:t>,</w:t>
            </w:r>
            <w:r w:rsidR="00FD73DC">
              <w:rPr>
                <w:rFonts w:cstheme="minorHAnsi"/>
                <w:sz w:val="24"/>
                <w:szCs w:val="24"/>
              </w:rPr>
              <w:t xml:space="preserve"> </w:t>
            </w:r>
            <w:r w:rsidRPr="00E57C84">
              <w:rPr>
                <w:rFonts w:cstheme="minorHAnsi"/>
                <w:sz w:val="24"/>
                <w:szCs w:val="24"/>
              </w:rPr>
              <w:t xml:space="preserve">Audit Committee and Board meetings are held quarterly to coincide with the Company’s quarterly financial </w:t>
            </w:r>
            <w:r>
              <w:rPr>
                <w:rFonts w:cstheme="minorHAnsi"/>
                <w:sz w:val="24"/>
                <w:szCs w:val="24"/>
              </w:rPr>
              <w:t xml:space="preserve">results </w:t>
            </w:r>
            <w:r w:rsidRPr="00E57C84">
              <w:rPr>
                <w:rFonts w:cstheme="minorHAnsi"/>
                <w:sz w:val="24"/>
                <w:szCs w:val="24"/>
              </w:rPr>
              <w:t xml:space="preserve">reporting, </w:t>
            </w:r>
            <w:r>
              <w:rPr>
                <w:rFonts w:cstheme="minorHAnsi"/>
                <w:sz w:val="24"/>
                <w:szCs w:val="24"/>
              </w:rPr>
              <w:t>and</w:t>
            </w:r>
            <w:r w:rsidRPr="00E57C84">
              <w:rPr>
                <w:rFonts w:cstheme="minorHAnsi"/>
                <w:sz w:val="24"/>
                <w:szCs w:val="24"/>
              </w:rPr>
              <w:t xml:space="preserve"> the Board and its Committees meet frequently to consider </w:t>
            </w:r>
            <w:r>
              <w:rPr>
                <w:rFonts w:cstheme="minorHAnsi"/>
                <w:sz w:val="24"/>
                <w:szCs w:val="24"/>
              </w:rPr>
              <w:t xml:space="preserve">a variety of </w:t>
            </w:r>
            <w:r w:rsidRPr="00E57C84">
              <w:rPr>
                <w:rFonts w:cstheme="minorHAnsi"/>
                <w:sz w:val="24"/>
                <w:szCs w:val="24"/>
              </w:rPr>
              <w:t xml:space="preserve">other matters. </w:t>
            </w:r>
          </w:p>
          <w:p w14:paraId="3DF1AAD1" w14:textId="7B32E419" w:rsidR="005B26DA" w:rsidRPr="00E57C84" w:rsidRDefault="005B26DA" w:rsidP="00F12C14">
            <w:pPr>
              <w:rPr>
                <w:rFonts w:cstheme="minorHAnsi"/>
                <w:sz w:val="24"/>
                <w:szCs w:val="24"/>
              </w:rPr>
            </w:pPr>
          </w:p>
          <w:p w14:paraId="5CEA47B0" w14:textId="0991F360" w:rsidR="009E6EAA" w:rsidRDefault="005B26DA" w:rsidP="00F12C14">
            <w:pPr>
              <w:rPr>
                <w:rFonts w:cstheme="minorHAnsi"/>
                <w:sz w:val="24"/>
                <w:szCs w:val="24"/>
              </w:rPr>
            </w:pPr>
            <w:r w:rsidRPr="00E57C84">
              <w:rPr>
                <w:rFonts w:cstheme="minorHAnsi"/>
                <w:sz w:val="24"/>
                <w:szCs w:val="24"/>
              </w:rPr>
              <w:t xml:space="preserve">The </w:t>
            </w:r>
            <w:r w:rsidR="00ED525D">
              <w:rPr>
                <w:rFonts w:cstheme="minorHAnsi"/>
                <w:sz w:val="24"/>
                <w:szCs w:val="24"/>
              </w:rPr>
              <w:t xml:space="preserve">Nomination and </w:t>
            </w:r>
            <w:r w:rsidRPr="00E57C84">
              <w:rPr>
                <w:rFonts w:cstheme="minorHAnsi"/>
                <w:sz w:val="24"/>
                <w:szCs w:val="24"/>
              </w:rPr>
              <w:t>Corporate Governance Committee evaluates the performance of the Board and its committees at a formal meeting every year</w:t>
            </w:r>
            <w:r w:rsidR="00E57C84">
              <w:rPr>
                <w:rFonts w:cstheme="minorHAnsi"/>
                <w:sz w:val="24"/>
                <w:szCs w:val="24"/>
              </w:rPr>
              <w:t xml:space="preserve"> based on the work they have conducted</w:t>
            </w:r>
            <w:r w:rsidRPr="00E57C84">
              <w:rPr>
                <w:rFonts w:cstheme="minorHAnsi"/>
                <w:sz w:val="24"/>
                <w:szCs w:val="24"/>
              </w:rPr>
              <w:t xml:space="preserve">.  </w:t>
            </w:r>
            <w:r w:rsidR="000E034F">
              <w:rPr>
                <w:rFonts w:cstheme="minorHAnsi"/>
                <w:sz w:val="24"/>
                <w:szCs w:val="24"/>
              </w:rPr>
              <w:t xml:space="preserve">The Committee is </w:t>
            </w:r>
            <w:r w:rsidR="006F1B38">
              <w:rPr>
                <w:rFonts w:cstheme="minorHAnsi"/>
                <w:sz w:val="24"/>
                <w:szCs w:val="24"/>
              </w:rPr>
              <w:t xml:space="preserve">also </w:t>
            </w:r>
            <w:r w:rsidR="000E034F">
              <w:rPr>
                <w:rFonts w:cstheme="minorHAnsi"/>
                <w:sz w:val="24"/>
                <w:szCs w:val="24"/>
              </w:rPr>
              <w:t xml:space="preserve">responsible for </w:t>
            </w:r>
            <w:r w:rsidR="00A50E86">
              <w:rPr>
                <w:rFonts w:cstheme="minorHAnsi"/>
                <w:sz w:val="24"/>
                <w:szCs w:val="24"/>
              </w:rPr>
              <w:t xml:space="preserve">identifying and </w:t>
            </w:r>
            <w:r w:rsidR="001E3543">
              <w:rPr>
                <w:rFonts w:cstheme="minorHAnsi"/>
                <w:sz w:val="24"/>
                <w:szCs w:val="24"/>
              </w:rPr>
              <w:t xml:space="preserve">recommending </w:t>
            </w:r>
            <w:r w:rsidR="00A50E86">
              <w:rPr>
                <w:rFonts w:cstheme="minorHAnsi"/>
                <w:sz w:val="24"/>
                <w:szCs w:val="24"/>
              </w:rPr>
              <w:t>nominees for appointment to the Board</w:t>
            </w:r>
            <w:r w:rsidR="00000A43">
              <w:rPr>
                <w:rFonts w:cstheme="minorHAnsi"/>
                <w:sz w:val="24"/>
                <w:szCs w:val="24"/>
              </w:rPr>
              <w:t xml:space="preserve"> (as well as senior executives)</w:t>
            </w:r>
            <w:r w:rsidR="00A50E86">
              <w:rPr>
                <w:rFonts w:cstheme="minorHAnsi"/>
                <w:sz w:val="24"/>
                <w:szCs w:val="24"/>
              </w:rPr>
              <w:t xml:space="preserve">, for the selection process and for succession planning.  It is supported in its </w:t>
            </w:r>
            <w:r w:rsidR="006C3D8F">
              <w:rPr>
                <w:rFonts w:cstheme="minorHAnsi"/>
                <w:sz w:val="24"/>
                <w:szCs w:val="24"/>
              </w:rPr>
              <w:t>role of</w:t>
            </w:r>
            <w:r w:rsidR="00C20DA5">
              <w:rPr>
                <w:rFonts w:cstheme="minorHAnsi"/>
                <w:sz w:val="24"/>
                <w:szCs w:val="24"/>
              </w:rPr>
              <w:t xml:space="preserve"> identifying potential candidates</w:t>
            </w:r>
            <w:r w:rsidR="00A50E86">
              <w:rPr>
                <w:rFonts w:cstheme="minorHAnsi"/>
                <w:sz w:val="24"/>
                <w:szCs w:val="24"/>
              </w:rPr>
              <w:t xml:space="preserve"> by an external search and selection consultancy, Spencer Stuart </w:t>
            </w:r>
            <w:r w:rsidR="005F31A0">
              <w:rPr>
                <w:rFonts w:cstheme="minorHAnsi"/>
                <w:sz w:val="24"/>
                <w:szCs w:val="24"/>
              </w:rPr>
              <w:t xml:space="preserve">South Africa </w:t>
            </w:r>
            <w:r w:rsidR="006F1B38">
              <w:rPr>
                <w:rFonts w:cstheme="minorHAnsi"/>
                <w:sz w:val="24"/>
                <w:szCs w:val="24"/>
              </w:rPr>
              <w:t>(Pty) Ltd.</w:t>
            </w:r>
            <w:r w:rsidR="00A50E86">
              <w:rPr>
                <w:rFonts w:cstheme="minorHAnsi"/>
                <w:sz w:val="24"/>
                <w:szCs w:val="24"/>
              </w:rPr>
              <w:t xml:space="preserve"> </w:t>
            </w:r>
            <w:r w:rsidR="001F79DA">
              <w:rPr>
                <w:rFonts w:cstheme="minorHAnsi"/>
                <w:sz w:val="24"/>
                <w:szCs w:val="24"/>
              </w:rPr>
              <w:t xml:space="preserve">The succession planning process is set out in the charter of the Committee, which can be found </w:t>
            </w:r>
            <w:hyperlink r:id="rId28" w:history="1">
              <w:r w:rsidR="001F79DA" w:rsidRPr="00B15B95">
                <w:rPr>
                  <w:rStyle w:val="Hyperlink"/>
                  <w:rFonts w:cstheme="minorHAnsi"/>
                  <w:sz w:val="24"/>
                  <w:szCs w:val="24"/>
                </w:rPr>
                <w:t>here</w:t>
              </w:r>
            </w:hyperlink>
            <w:r w:rsidR="001F79DA">
              <w:rPr>
                <w:rFonts w:cstheme="minorHAnsi"/>
                <w:sz w:val="24"/>
                <w:szCs w:val="24"/>
              </w:rPr>
              <w:t>.</w:t>
            </w:r>
            <w:r w:rsidR="00C70466">
              <w:rPr>
                <w:rFonts w:cstheme="minorHAnsi"/>
                <w:sz w:val="24"/>
                <w:szCs w:val="24"/>
              </w:rPr>
              <w:t xml:space="preserve">  The Committee is also responsible for overseeing the Board evaluation process each year</w:t>
            </w:r>
            <w:r w:rsidR="00672DB7">
              <w:rPr>
                <w:rFonts w:cstheme="minorHAnsi"/>
                <w:sz w:val="24"/>
                <w:szCs w:val="24"/>
              </w:rPr>
              <w:t>.</w:t>
            </w:r>
          </w:p>
          <w:p w14:paraId="130862AC" w14:textId="77777777" w:rsidR="009E6EAA" w:rsidRDefault="009E6EAA" w:rsidP="00F12C14">
            <w:pPr>
              <w:rPr>
                <w:rFonts w:cstheme="minorHAnsi"/>
                <w:sz w:val="24"/>
                <w:szCs w:val="24"/>
              </w:rPr>
            </w:pPr>
          </w:p>
          <w:p w14:paraId="314334CC" w14:textId="78EC4049" w:rsidR="000C6F30" w:rsidRDefault="00EA0DE8" w:rsidP="00F12C14">
            <w:pPr>
              <w:rPr>
                <w:rFonts w:cstheme="minorHAnsi"/>
                <w:sz w:val="24"/>
                <w:szCs w:val="24"/>
              </w:rPr>
            </w:pPr>
            <w:r>
              <w:rPr>
                <w:rFonts w:cstheme="minorHAnsi"/>
                <w:sz w:val="24"/>
                <w:szCs w:val="24"/>
              </w:rPr>
              <w:t xml:space="preserve">In </w:t>
            </w:r>
            <w:r w:rsidR="00106E13">
              <w:rPr>
                <w:rFonts w:cstheme="minorHAnsi"/>
                <w:sz w:val="24"/>
                <w:szCs w:val="24"/>
              </w:rPr>
              <w:t>mid-</w:t>
            </w:r>
            <w:r>
              <w:rPr>
                <w:rFonts w:cstheme="minorHAnsi"/>
                <w:sz w:val="24"/>
                <w:szCs w:val="24"/>
              </w:rPr>
              <w:t>2021, the</w:t>
            </w:r>
            <w:r w:rsidRPr="00EA0DE8">
              <w:rPr>
                <w:rFonts w:cstheme="minorHAnsi"/>
                <w:sz w:val="24"/>
                <w:szCs w:val="24"/>
              </w:rPr>
              <w:t xml:space="preserve"> Board </w:t>
            </w:r>
            <w:r w:rsidR="00E0752F">
              <w:rPr>
                <w:rFonts w:cstheme="minorHAnsi"/>
                <w:sz w:val="24"/>
                <w:szCs w:val="24"/>
              </w:rPr>
              <w:t xml:space="preserve">for the first time </w:t>
            </w:r>
            <w:r w:rsidRPr="00EA0DE8">
              <w:rPr>
                <w:rFonts w:cstheme="minorHAnsi"/>
                <w:sz w:val="24"/>
                <w:szCs w:val="24"/>
              </w:rPr>
              <w:t xml:space="preserve">commissioned </w:t>
            </w:r>
            <w:r w:rsidR="004B6698">
              <w:rPr>
                <w:rFonts w:cstheme="minorHAnsi"/>
                <w:sz w:val="24"/>
                <w:szCs w:val="24"/>
              </w:rPr>
              <w:t>a</w:t>
            </w:r>
            <w:r w:rsidR="00904FDB">
              <w:rPr>
                <w:rFonts w:cstheme="minorHAnsi"/>
                <w:sz w:val="24"/>
                <w:szCs w:val="24"/>
              </w:rPr>
              <w:t>n independent</w:t>
            </w:r>
            <w:r w:rsidR="004B6698">
              <w:rPr>
                <w:rFonts w:cstheme="minorHAnsi"/>
                <w:sz w:val="24"/>
                <w:szCs w:val="24"/>
              </w:rPr>
              <w:t xml:space="preserve"> </w:t>
            </w:r>
            <w:r>
              <w:rPr>
                <w:rFonts w:cstheme="minorHAnsi"/>
                <w:sz w:val="24"/>
                <w:szCs w:val="24"/>
              </w:rPr>
              <w:t xml:space="preserve">consultancy to </w:t>
            </w:r>
            <w:r w:rsidR="004B6698">
              <w:rPr>
                <w:rFonts w:cstheme="minorHAnsi"/>
                <w:sz w:val="24"/>
                <w:szCs w:val="24"/>
              </w:rPr>
              <w:t xml:space="preserve">conduct </w:t>
            </w:r>
            <w:r w:rsidRPr="00EA0DE8">
              <w:rPr>
                <w:rFonts w:cstheme="minorHAnsi"/>
                <w:sz w:val="24"/>
                <w:szCs w:val="24"/>
              </w:rPr>
              <w:t xml:space="preserve">a self-assessment evaluation of </w:t>
            </w:r>
            <w:r w:rsidR="004B6698">
              <w:rPr>
                <w:rFonts w:cstheme="minorHAnsi"/>
                <w:sz w:val="24"/>
                <w:szCs w:val="24"/>
              </w:rPr>
              <w:t>the Board’s</w:t>
            </w:r>
            <w:r w:rsidRPr="00EA0DE8">
              <w:rPr>
                <w:rFonts w:cstheme="minorHAnsi"/>
                <w:sz w:val="24"/>
                <w:szCs w:val="24"/>
              </w:rPr>
              <w:t xml:space="preserve"> and its </w:t>
            </w:r>
            <w:r w:rsidR="00516D96" w:rsidRPr="00EA0DE8">
              <w:rPr>
                <w:rFonts w:cstheme="minorHAnsi"/>
                <w:sz w:val="24"/>
                <w:szCs w:val="24"/>
              </w:rPr>
              <w:t>Committees</w:t>
            </w:r>
            <w:r w:rsidR="00516D96">
              <w:rPr>
                <w:rFonts w:cstheme="minorHAnsi"/>
                <w:sz w:val="24"/>
                <w:szCs w:val="24"/>
              </w:rPr>
              <w:t xml:space="preserve">’ </w:t>
            </w:r>
            <w:r w:rsidRPr="00EA0DE8">
              <w:rPr>
                <w:rFonts w:cstheme="minorHAnsi"/>
                <w:sz w:val="24"/>
                <w:szCs w:val="24"/>
              </w:rPr>
              <w:t>activities</w:t>
            </w:r>
            <w:r w:rsidR="006D67E4">
              <w:rPr>
                <w:rFonts w:cstheme="minorHAnsi"/>
                <w:sz w:val="24"/>
                <w:szCs w:val="24"/>
              </w:rPr>
              <w:t>,</w:t>
            </w:r>
            <w:r w:rsidR="00FC0AFE">
              <w:rPr>
                <w:rFonts w:cstheme="minorHAnsi"/>
                <w:sz w:val="24"/>
                <w:szCs w:val="24"/>
              </w:rPr>
              <w:t xml:space="preserve"> based on the objectives set out in their charters,</w:t>
            </w:r>
            <w:r w:rsidR="006D67E4">
              <w:rPr>
                <w:rFonts w:cstheme="minorHAnsi"/>
                <w:sz w:val="24"/>
                <w:szCs w:val="24"/>
              </w:rPr>
              <w:t xml:space="preserve"> </w:t>
            </w:r>
            <w:r w:rsidR="00437F62">
              <w:rPr>
                <w:rFonts w:cstheme="minorHAnsi"/>
                <w:sz w:val="24"/>
                <w:szCs w:val="24"/>
              </w:rPr>
              <w:t xml:space="preserve">the results of which </w:t>
            </w:r>
            <w:r w:rsidR="00046C37">
              <w:rPr>
                <w:rFonts w:cstheme="minorHAnsi"/>
                <w:sz w:val="24"/>
                <w:szCs w:val="24"/>
              </w:rPr>
              <w:t>assist</w:t>
            </w:r>
            <w:r w:rsidR="00B82B43">
              <w:rPr>
                <w:rFonts w:cstheme="minorHAnsi"/>
                <w:sz w:val="24"/>
                <w:szCs w:val="24"/>
              </w:rPr>
              <w:t>ed</w:t>
            </w:r>
            <w:r w:rsidR="00046C37">
              <w:rPr>
                <w:rFonts w:cstheme="minorHAnsi"/>
                <w:sz w:val="24"/>
                <w:szCs w:val="24"/>
              </w:rPr>
              <w:t xml:space="preserve"> the</w:t>
            </w:r>
            <w:r w:rsidR="00EA4E5C">
              <w:rPr>
                <w:rFonts w:cstheme="minorHAnsi"/>
                <w:sz w:val="24"/>
                <w:szCs w:val="24"/>
              </w:rPr>
              <w:t xml:space="preserve"> </w:t>
            </w:r>
            <w:r w:rsidR="00C45610">
              <w:rPr>
                <w:rFonts w:cstheme="minorHAnsi"/>
                <w:sz w:val="24"/>
                <w:szCs w:val="24"/>
              </w:rPr>
              <w:t xml:space="preserve">Committee </w:t>
            </w:r>
            <w:r w:rsidR="00046C37">
              <w:rPr>
                <w:rFonts w:cstheme="minorHAnsi"/>
                <w:sz w:val="24"/>
                <w:szCs w:val="24"/>
              </w:rPr>
              <w:t>in its evaluation</w:t>
            </w:r>
            <w:r w:rsidR="00C45610">
              <w:rPr>
                <w:rFonts w:cstheme="minorHAnsi"/>
                <w:sz w:val="24"/>
                <w:szCs w:val="24"/>
              </w:rPr>
              <w:t xml:space="preserve"> later in the year.</w:t>
            </w:r>
            <w:r w:rsidR="006A6AAE">
              <w:rPr>
                <w:rFonts w:cstheme="minorHAnsi"/>
                <w:sz w:val="24"/>
                <w:szCs w:val="24"/>
              </w:rPr>
              <w:t xml:space="preserve">  </w:t>
            </w:r>
            <w:r w:rsidR="003F2350">
              <w:rPr>
                <w:rFonts w:cstheme="minorHAnsi"/>
                <w:sz w:val="24"/>
                <w:szCs w:val="24"/>
              </w:rPr>
              <w:t xml:space="preserve">The independently facilitated evaluation </w:t>
            </w:r>
            <w:r w:rsidR="00B82B43">
              <w:rPr>
                <w:rFonts w:cstheme="minorHAnsi"/>
                <w:sz w:val="24"/>
                <w:szCs w:val="24"/>
              </w:rPr>
              <w:t>was commissioned again in</w:t>
            </w:r>
            <w:r w:rsidR="004E44AD">
              <w:rPr>
                <w:rFonts w:cstheme="minorHAnsi"/>
                <w:sz w:val="24"/>
                <w:szCs w:val="24"/>
              </w:rPr>
              <w:t xml:space="preserve"> 2022</w:t>
            </w:r>
            <w:r w:rsidR="00DB7B52">
              <w:rPr>
                <w:rFonts w:cstheme="minorHAnsi"/>
                <w:sz w:val="24"/>
                <w:szCs w:val="24"/>
              </w:rPr>
              <w:t xml:space="preserve">, with </w:t>
            </w:r>
            <w:r w:rsidR="00B02A39">
              <w:rPr>
                <w:rFonts w:cstheme="minorHAnsi"/>
                <w:sz w:val="24"/>
                <w:szCs w:val="24"/>
              </w:rPr>
              <w:t xml:space="preserve">interviews </w:t>
            </w:r>
            <w:r w:rsidR="00F85AD4">
              <w:rPr>
                <w:rFonts w:cstheme="minorHAnsi"/>
                <w:sz w:val="24"/>
                <w:szCs w:val="24"/>
              </w:rPr>
              <w:t xml:space="preserve">added as an </w:t>
            </w:r>
            <w:r w:rsidR="00DB7B52">
              <w:rPr>
                <w:rFonts w:cstheme="minorHAnsi"/>
                <w:sz w:val="24"/>
                <w:szCs w:val="24"/>
              </w:rPr>
              <w:t>enhancement,</w:t>
            </w:r>
            <w:r w:rsidR="00026C24">
              <w:rPr>
                <w:rFonts w:cstheme="minorHAnsi"/>
                <w:sz w:val="24"/>
                <w:szCs w:val="24"/>
              </w:rPr>
              <w:t xml:space="preserve"> </w:t>
            </w:r>
            <w:r w:rsidR="00B82B43">
              <w:rPr>
                <w:rFonts w:cstheme="minorHAnsi"/>
                <w:sz w:val="24"/>
                <w:szCs w:val="24"/>
              </w:rPr>
              <w:t xml:space="preserve">and the </w:t>
            </w:r>
            <w:r w:rsidR="00026C24">
              <w:rPr>
                <w:rFonts w:cstheme="minorHAnsi"/>
                <w:sz w:val="24"/>
                <w:szCs w:val="24"/>
              </w:rPr>
              <w:t xml:space="preserve">results of the evaluation </w:t>
            </w:r>
            <w:r w:rsidR="00B82B43">
              <w:rPr>
                <w:rFonts w:cstheme="minorHAnsi"/>
                <w:sz w:val="24"/>
                <w:szCs w:val="24"/>
              </w:rPr>
              <w:t xml:space="preserve">were </w:t>
            </w:r>
            <w:r w:rsidR="00026C24">
              <w:rPr>
                <w:rFonts w:cstheme="minorHAnsi"/>
                <w:sz w:val="24"/>
                <w:szCs w:val="24"/>
              </w:rPr>
              <w:t>presented to the Board</w:t>
            </w:r>
            <w:r w:rsidR="008A74D8">
              <w:rPr>
                <w:rFonts w:cstheme="minorHAnsi"/>
                <w:sz w:val="24"/>
                <w:szCs w:val="24"/>
              </w:rPr>
              <w:t xml:space="preserve"> for discussion</w:t>
            </w:r>
            <w:r w:rsidR="001E1715">
              <w:rPr>
                <w:rFonts w:cstheme="minorHAnsi"/>
                <w:sz w:val="24"/>
                <w:szCs w:val="24"/>
              </w:rPr>
              <w:t xml:space="preserve"> in November 2022</w:t>
            </w:r>
            <w:r w:rsidR="00F45049">
              <w:rPr>
                <w:rFonts w:cstheme="minorHAnsi"/>
                <w:sz w:val="24"/>
                <w:szCs w:val="24"/>
              </w:rPr>
              <w:t>.</w:t>
            </w:r>
            <w:r w:rsidR="000378E1">
              <w:rPr>
                <w:rFonts w:cstheme="minorHAnsi"/>
                <w:sz w:val="24"/>
                <w:szCs w:val="24"/>
              </w:rPr>
              <w:t xml:space="preserve">  </w:t>
            </w:r>
          </w:p>
          <w:p w14:paraId="7AC22CC2" w14:textId="77777777" w:rsidR="000C6F30" w:rsidRDefault="000C6F30" w:rsidP="00F12C14">
            <w:pPr>
              <w:rPr>
                <w:rFonts w:cstheme="minorHAnsi"/>
                <w:sz w:val="24"/>
                <w:szCs w:val="24"/>
              </w:rPr>
            </w:pPr>
          </w:p>
          <w:p w14:paraId="01F41177" w14:textId="4E441B37" w:rsidR="00DF1BA1" w:rsidRDefault="000378E1" w:rsidP="00F12C14">
            <w:pPr>
              <w:rPr>
                <w:rFonts w:cstheme="minorHAnsi"/>
                <w:sz w:val="24"/>
                <w:szCs w:val="24"/>
              </w:rPr>
            </w:pPr>
            <w:r>
              <w:rPr>
                <w:rFonts w:cstheme="minorHAnsi"/>
                <w:sz w:val="24"/>
                <w:szCs w:val="24"/>
              </w:rPr>
              <w:t>In 2023</w:t>
            </w:r>
            <w:r w:rsidR="00FE21DC">
              <w:rPr>
                <w:rFonts w:cstheme="minorHAnsi"/>
                <w:sz w:val="24"/>
                <w:szCs w:val="24"/>
              </w:rPr>
              <w:t xml:space="preserve"> and 2024</w:t>
            </w:r>
            <w:r>
              <w:rPr>
                <w:rFonts w:cstheme="minorHAnsi"/>
                <w:sz w:val="24"/>
                <w:szCs w:val="24"/>
              </w:rPr>
              <w:t xml:space="preserve">, the Board evaluation was conducted internally </w:t>
            </w:r>
            <w:r w:rsidR="000C6F30">
              <w:rPr>
                <w:rFonts w:cstheme="minorHAnsi"/>
                <w:sz w:val="24"/>
                <w:szCs w:val="24"/>
              </w:rPr>
              <w:t>in order to provide for</w:t>
            </w:r>
            <w:r>
              <w:rPr>
                <w:rFonts w:cstheme="minorHAnsi"/>
                <w:sz w:val="24"/>
                <w:szCs w:val="24"/>
              </w:rPr>
              <w:t xml:space="preserve"> more focussed questions and </w:t>
            </w:r>
            <w:r w:rsidR="00947486">
              <w:rPr>
                <w:rFonts w:cstheme="minorHAnsi"/>
                <w:sz w:val="24"/>
                <w:szCs w:val="24"/>
              </w:rPr>
              <w:t>follow up interviews</w:t>
            </w:r>
            <w:r w:rsidR="003F5AC3">
              <w:rPr>
                <w:rFonts w:cstheme="minorHAnsi"/>
                <w:sz w:val="24"/>
                <w:szCs w:val="24"/>
              </w:rPr>
              <w:t xml:space="preserve"> by the </w:t>
            </w:r>
            <w:r w:rsidR="003F5AC3" w:rsidRPr="003F5AC3">
              <w:rPr>
                <w:rFonts w:cstheme="minorHAnsi"/>
                <w:sz w:val="24"/>
                <w:szCs w:val="24"/>
              </w:rPr>
              <w:t>Company’s General Counsel and Head of Risk and Compliance</w:t>
            </w:r>
            <w:r w:rsidR="003F5AC3">
              <w:rPr>
                <w:rFonts w:cstheme="minorHAnsi"/>
                <w:sz w:val="24"/>
                <w:szCs w:val="24"/>
              </w:rPr>
              <w:t xml:space="preserve">.  </w:t>
            </w:r>
          </w:p>
          <w:p w14:paraId="38BD0F42" w14:textId="77777777" w:rsidR="0027158C" w:rsidRDefault="0027158C" w:rsidP="00F12C14">
            <w:pPr>
              <w:rPr>
                <w:rFonts w:cstheme="minorHAnsi"/>
                <w:sz w:val="24"/>
                <w:szCs w:val="24"/>
              </w:rPr>
            </w:pPr>
          </w:p>
          <w:p w14:paraId="6430354C" w14:textId="25D4F8F5" w:rsidR="00BF1696" w:rsidRDefault="0027158C" w:rsidP="00F12C14">
            <w:pPr>
              <w:rPr>
                <w:rFonts w:cstheme="minorHAnsi"/>
                <w:sz w:val="24"/>
                <w:szCs w:val="24"/>
              </w:rPr>
            </w:pPr>
            <w:r>
              <w:rPr>
                <w:rFonts w:cstheme="minorHAnsi"/>
                <w:sz w:val="24"/>
                <w:szCs w:val="24"/>
              </w:rPr>
              <w:t xml:space="preserve">In 2025, Deloitte </w:t>
            </w:r>
            <w:r w:rsidR="002F5A7D" w:rsidRPr="002F5A7D">
              <w:rPr>
                <w:rFonts w:cstheme="minorHAnsi"/>
                <w:sz w:val="24"/>
                <w:szCs w:val="24"/>
              </w:rPr>
              <w:t>Consulting (Pty) Ltd</w:t>
            </w:r>
            <w:r w:rsidR="002F5A7D">
              <w:rPr>
                <w:rFonts w:cstheme="minorHAnsi"/>
                <w:sz w:val="24"/>
                <w:szCs w:val="24"/>
              </w:rPr>
              <w:t xml:space="preserve"> </w:t>
            </w:r>
            <w:r w:rsidR="00195B90">
              <w:rPr>
                <w:rFonts w:cstheme="minorHAnsi"/>
                <w:sz w:val="24"/>
                <w:szCs w:val="24"/>
              </w:rPr>
              <w:t>was</w:t>
            </w:r>
            <w:r w:rsidR="002F5A7D">
              <w:rPr>
                <w:rFonts w:cstheme="minorHAnsi"/>
                <w:sz w:val="24"/>
                <w:szCs w:val="24"/>
              </w:rPr>
              <w:t xml:space="preserve"> engaged to conduct an independent external </w:t>
            </w:r>
            <w:r w:rsidR="00A53F04">
              <w:rPr>
                <w:rFonts w:cstheme="minorHAnsi"/>
                <w:sz w:val="24"/>
                <w:szCs w:val="24"/>
              </w:rPr>
              <w:t>evaluation</w:t>
            </w:r>
            <w:r w:rsidR="00212051">
              <w:rPr>
                <w:rFonts w:cstheme="minorHAnsi"/>
                <w:sz w:val="24"/>
                <w:szCs w:val="24"/>
              </w:rPr>
              <w:t>, as it is considered best practice to have an external evaluation conducted every third year</w:t>
            </w:r>
            <w:r w:rsidR="00A53F04">
              <w:rPr>
                <w:rFonts w:cstheme="minorHAnsi"/>
                <w:sz w:val="24"/>
                <w:szCs w:val="24"/>
              </w:rPr>
              <w:t>.</w:t>
            </w:r>
            <w:r w:rsidR="001706E3">
              <w:rPr>
                <w:rFonts w:cstheme="minorHAnsi"/>
                <w:sz w:val="24"/>
                <w:szCs w:val="24"/>
              </w:rPr>
              <w:t xml:space="preserve">  The evaluation cycle </w:t>
            </w:r>
            <w:r w:rsidR="00C90378">
              <w:rPr>
                <w:rFonts w:cstheme="minorHAnsi"/>
                <w:sz w:val="24"/>
                <w:szCs w:val="24"/>
              </w:rPr>
              <w:t xml:space="preserve">for a particular year </w:t>
            </w:r>
            <w:r w:rsidR="00E93BA4">
              <w:rPr>
                <w:rFonts w:cstheme="minorHAnsi"/>
                <w:sz w:val="24"/>
                <w:szCs w:val="24"/>
              </w:rPr>
              <w:t xml:space="preserve">currently </w:t>
            </w:r>
            <w:r w:rsidR="001706E3">
              <w:rPr>
                <w:rFonts w:cstheme="minorHAnsi"/>
                <w:sz w:val="24"/>
                <w:szCs w:val="24"/>
              </w:rPr>
              <w:t xml:space="preserve">takes place in </w:t>
            </w:r>
            <w:r w:rsidR="00C90378">
              <w:rPr>
                <w:rFonts w:cstheme="minorHAnsi"/>
                <w:sz w:val="24"/>
                <w:szCs w:val="24"/>
              </w:rPr>
              <w:t>the third and fourth quarters in the following year</w:t>
            </w:r>
            <w:r w:rsidR="00E93BA4">
              <w:rPr>
                <w:rFonts w:cstheme="minorHAnsi"/>
                <w:sz w:val="24"/>
                <w:szCs w:val="24"/>
              </w:rPr>
              <w:t xml:space="preserve"> but it is envisaged that the process will move to earlier in the year</w:t>
            </w:r>
            <w:r w:rsidR="00C90378">
              <w:rPr>
                <w:rFonts w:cstheme="minorHAnsi"/>
                <w:sz w:val="24"/>
                <w:szCs w:val="24"/>
              </w:rPr>
              <w:t>.</w:t>
            </w:r>
          </w:p>
          <w:p w14:paraId="6AC6AB4B" w14:textId="77777777" w:rsidR="00552349" w:rsidRDefault="00552349" w:rsidP="00F12C14">
            <w:pPr>
              <w:rPr>
                <w:rFonts w:cstheme="minorHAnsi"/>
                <w:sz w:val="24"/>
                <w:szCs w:val="24"/>
              </w:rPr>
            </w:pPr>
          </w:p>
          <w:p w14:paraId="1E6730E1" w14:textId="4404FD34" w:rsidR="00552349" w:rsidRDefault="00552349" w:rsidP="00F12C14">
            <w:pPr>
              <w:rPr>
                <w:rFonts w:cstheme="minorHAnsi"/>
                <w:sz w:val="24"/>
                <w:szCs w:val="24"/>
              </w:rPr>
            </w:pPr>
            <w:r>
              <w:rPr>
                <w:rFonts w:cstheme="minorHAnsi"/>
                <w:sz w:val="24"/>
                <w:szCs w:val="24"/>
              </w:rPr>
              <w:t>The criteria against which the Board</w:t>
            </w:r>
            <w:r w:rsidR="0009060B">
              <w:rPr>
                <w:rFonts w:cstheme="minorHAnsi"/>
                <w:sz w:val="24"/>
                <w:szCs w:val="24"/>
              </w:rPr>
              <w:t>’s</w:t>
            </w:r>
            <w:r>
              <w:rPr>
                <w:rFonts w:cstheme="minorHAnsi"/>
                <w:sz w:val="24"/>
                <w:szCs w:val="24"/>
              </w:rPr>
              <w:t xml:space="preserve"> and its members</w:t>
            </w:r>
            <w:r w:rsidR="0009060B">
              <w:rPr>
                <w:rFonts w:cstheme="minorHAnsi"/>
                <w:sz w:val="24"/>
                <w:szCs w:val="24"/>
              </w:rPr>
              <w:t xml:space="preserve">’ effectiveness are considered include </w:t>
            </w:r>
            <w:r w:rsidR="00A41F70">
              <w:rPr>
                <w:rFonts w:cstheme="minorHAnsi"/>
                <w:sz w:val="24"/>
                <w:szCs w:val="24"/>
              </w:rPr>
              <w:t>performance, risk</w:t>
            </w:r>
            <w:r w:rsidR="000F4922">
              <w:rPr>
                <w:rFonts w:cstheme="minorHAnsi"/>
                <w:sz w:val="24"/>
                <w:szCs w:val="24"/>
              </w:rPr>
              <w:t xml:space="preserve"> management</w:t>
            </w:r>
            <w:r w:rsidR="00A41F70">
              <w:rPr>
                <w:rFonts w:cstheme="minorHAnsi"/>
                <w:sz w:val="24"/>
                <w:szCs w:val="24"/>
              </w:rPr>
              <w:t>, strategy, governance, talent management</w:t>
            </w:r>
            <w:r w:rsidR="000F4922">
              <w:rPr>
                <w:rFonts w:cstheme="minorHAnsi"/>
                <w:sz w:val="24"/>
                <w:szCs w:val="24"/>
              </w:rPr>
              <w:t>, culture and the performance of the Committees and individual Directors</w:t>
            </w:r>
            <w:r w:rsidR="0056493E">
              <w:rPr>
                <w:rFonts w:cstheme="minorHAnsi"/>
                <w:sz w:val="24"/>
                <w:szCs w:val="24"/>
              </w:rPr>
              <w:t>, facilitated by an online survey</w:t>
            </w:r>
            <w:r w:rsidR="000F4922">
              <w:rPr>
                <w:rFonts w:cstheme="minorHAnsi"/>
                <w:sz w:val="24"/>
                <w:szCs w:val="24"/>
              </w:rPr>
              <w:t>.</w:t>
            </w:r>
            <w:r w:rsidR="004C1833">
              <w:rPr>
                <w:rFonts w:cstheme="minorHAnsi"/>
                <w:sz w:val="24"/>
                <w:szCs w:val="24"/>
              </w:rPr>
              <w:t xml:space="preserve">  Separate interviews </w:t>
            </w:r>
            <w:r w:rsidR="0039566A">
              <w:rPr>
                <w:rFonts w:cstheme="minorHAnsi"/>
                <w:sz w:val="24"/>
                <w:szCs w:val="24"/>
              </w:rPr>
              <w:t xml:space="preserve">are </w:t>
            </w:r>
            <w:r w:rsidR="0056493E">
              <w:rPr>
                <w:rFonts w:cstheme="minorHAnsi"/>
                <w:sz w:val="24"/>
                <w:szCs w:val="24"/>
              </w:rPr>
              <w:t xml:space="preserve">then </w:t>
            </w:r>
            <w:r w:rsidR="0039566A">
              <w:rPr>
                <w:rFonts w:cstheme="minorHAnsi"/>
                <w:sz w:val="24"/>
                <w:szCs w:val="24"/>
              </w:rPr>
              <w:t>conducted</w:t>
            </w:r>
            <w:r w:rsidR="004C1833">
              <w:rPr>
                <w:rFonts w:cstheme="minorHAnsi"/>
                <w:sz w:val="24"/>
                <w:szCs w:val="24"/>
              </w:rPr>
              <w:t xml:space="preserve"> with Directors </w:t>
            </w:r>
            <w:r w:rsidR="008B4DBD">
              <w:rPr>
                <w:rFonts w:cstheme="minorHAnsi"/>
                <w:sz w:val="24"/>
                <w:szCs w:val="24"/>
              </w:rPr>
              <w:t>which focus on strategy</w:t>
            </w:r>
            <w:r w:rsidR="00C81C18">
              <w:rPr>
                <w:rFonts w:cstheme="minorHAnsi"/>
                <w:sz w:val="24"/>
                <w:szCs w:val="24"/>
              </w:rPr>
              <w:t>, ethics, roles and relationships, administration, composition and skills, decision-making and reporting</w:t>
            </w:r>
            <w:r w:rsidR="003B3396">
              <w:rPr>
                <w:rFonts w:cstheme="minorHAnsi"/>
                <w:sz w:val="24"/>
                <w:szCs w:val="24"/>
              </w:rPr>
              <w:t>, training and induction, Board effectiveness, risk governance, regulatory compliance, assurance and stakeholder management.</w:t>
            </w:r>
            <w:r w:rsidR="004C1833">
              <w:rPr>
                <w:rFonts w:cstheme="minorHAnsi"/>
                <w:sz w:val="24"/>
                <w:szCs w:val="24"/>
              </w:rPr>
              <w:t xml:space="preserve"> </w:t>
            </w:r>
          </w:p>
          <w:p w14:paraId="59B53F46" w14:textId="77777777" w:rsidR="00BF1696" w:rsidRDefault="00BF1696" w:rsidP="00F12C14">
            <w:pPr>
              <w:rPr>
                <w:rFonts w:cstheme="minorHAnsi"/>
                <w:sz w:val="24"/>
                <w:szCs w:val="24"/>
              </w:rPr>
            </w:pPr>
          </w:p>
          <w:p w14:paraId="178F567E" w14:textId="0D51C47F" w:rsidR="005B26DA" w:rsidRDefault="003F5AC3" w:rsidP="00F12C14">
            <w:pPr>
              <w:rPr>
                <w:rFonts w:cstheme="minorHAnsi"/>
                <w:sz w:val="24"/>
                <w:szCs w:val="24"/>
              </w:rPr>
            </w:pPr>
            <w:r>
              <w:rPr>
                <w:rFonts w:cstheme="minorHAnsi"/>
                <w:sz w:val="24"/>
                <w:szCs w:val="24"/>
              </w:rPr>
              <w:t>The</w:t>
            </w:r>
            <w:r w:rsidR="00947486">
              <w:rPr>
                <w:rFonts w:cstheme="minorHAnsi"/>
                <w:sz w:val="24"/>
                <w:szCs w:val="24"/>
              </w:rPr>
              <w:t xml:space="preserve"> results of </w:t>
            </w:r>
            <w:r w:rsidR="008C2838">
              <w:rPr>
                <w:rFonts w:cstheme="minorHAnsi"/>
                <w:sz w:val="24"/>
                <w:szCs w:val="24"/>
              </w:rPr>
              <w:t>evaluations</w:t>
            </w:r>
            <w:r w:rsidR="00947486">
              <w:rPr>
                <w:rFonts w:cstheme="minorHAnsi"/>
                <w:sz w:val="24"/>
                <w:szCs w:val="24"/>
              </w:rPr>
              <w:t xml:space="preserve"> are</w:t>
            </w:r>
            <w:r w:rsidR="008C2838">
              <w:rPr>
                <w:rFonts w:cstheme="minorHAnsi"/>
                <w:sz w:val="24"/>
                <w:szCs w:val="24"/>
              </w:rPr>
              <w:t xml:space="preserve"> </w:t>
            </w:r>
            <w:r w:rsidR="00005AE2">
              <w:rPr>
                <w:rFonts w:cstheme="minorHAnsi"/>
                <w:sz w:val="24"/>
                <w:szCs w:val="24"/>
              </w:rPr>
              <w:t xml:space="preserve">collated and </w:t>
            </w:r>
            <w:r w:rsidR="008C2838">
              <w:rPr>
                <w:rFonts w:cstheme="minorHAnsi"/>
                <w:sz w:val="24"/>
                <w:szCs w:val="24"/>
              </w:rPr>
              <w:t>comprehensively</w:t>
            </w:r>
            <w:r w:rsidR="00947486">
              <w:rPr>
                <w:rFonts w:cstheme="minorHAnsi"/>
                <w:sz w:val="24"/>
                <w:szCs w:val="24"/>
              </w:rPr>
              <w:t xml:space="preserve"> discussed </w:t>
            </w:r>
            <w:r w:rsidRPr="003F5AC3">
              <w:rPr>
                <w:rFonts w:cstheme="minorHAnsi"/>
                <w:sz w:val="24"/>
                <w:szCs w:val="24"/>
              </w:rPr>
              <w:t>in order to form the basis of continual improvements</w:t>
            </w:r>
            <w:r w:rsidR="00C55BCB">
              <w:rPr>
                <w:rFonts w:cstheme="minorHAnsi"/>
                <w:sz w:val="24"/>
                <w:szCs w:val="24"/>
              </w:rPr>
              <w:t xml:space="preserve"> in corporate governance and the functioning of the Board and its </w:t>
            </w:r>
            <w:r w:rsidR="00430472">
              <w:rPr>
                <w:rFonts w:cstheme="minorHAnsi"/>
                <w:sz w:val="24"/>
                <w:szCs w:val="24"/>
              </w:rPr>
              <w:t>C</w:t>
            </w:r>
            <w:r w:rsidR="00C55BCB">
              <w:rPr>
                <w:rFonts w:cstheme="minorHAnsi"/>
                <w:sz w:val="24"/>
                <w:szCs w:val="24"/>
              </w:rPr>
              <w:t>ommittees</w:t>
            </w:r>
            <w:r w:rsidR="00430472">
              <w:rPr>
                <w:rFonts w:cstheme="minorHAnsi"/>
                <w:sz w:val="24"/>
                <w:szCs w:val="24"/>
              </w:rPr>
              <w:t>.</w:t>
            </w:r>
            <w:r w:rsidR="00E369B2">
              <w:t xml:space="preserve"> </w:t>
            </w:r>
            <w:r w:rsidR="0075573A" w:rsidRPr="0075573A">
              <w:rPr>
                <w:rFonts w:cstheme="minorHAnsi"/>
                <w:sz w:val="24"/>
                <w:szCs w:val="24"/>
              </w:rPr>
              <w:t>Key outcomes</w:t>
            </w:r>
            <w:r w:rsidR="00F0377C" w:rsidRPr="0075573A">
              <w:rPr>
                <w:rFonts w:cstheme="minorHAnsi"/>
                <w:sz w:val="24"/>
                <w:szCs w:val="24"/>
              </w:rPr>
              <w:t xml:space="preserve"> from the</w:t>
            </w:r>
            <w:r w:rsidR="00E369B2" w:rsidRPr="0075573A">
              <w:rPr>
                <w:rFonts w:cstheme="minorHAnsi"/>
                <w:sz w:val="24"/>
                <w:szCs w:val="24"/>
              </w:rPr>
              <w:t xml:space="preserve"> evaluation undertaken in </w:t>
            </w:r>
            <w:r w:rsidR="007E3251" w:rsidRPr="0075573A">
              <w:rPr>
                <w:rFonts w:cstheme="minorHAnsi"/>
                <w:sz w:val="24"/>
                <w:szCs w:val="24"/>
              </w:rPr>
              <w:t>202</w:t>
            </w:r>
            <w:r w:rsidR="007E3251">
              <w:rPr>
                <w:rFonts w:cstheme="minorHAnsi"/>
                <w:sz w:val="24"/>
                <w:szCs w:val="24"/>
              </w:rPr>
              <w:t>5</w:t>
            </w:r>
            <w:r w:rsidR="00C81C42" w:rsidRPr="00C81C42">
              <w:rPr>
                <w:rFonts w:cstheme="minorHAnsi"/>
                <w:sz w:val="24"/>
                <w:szCs w:val="24"/>
              </w:rPr>
              <w:t>confirmed that the Board and its Committees continue to operate effectively, with all categories scoring above the expected benchmark and demonstrating strong governance foundations and strategic oversight. The review identified areas for further enhancement, including strengthening risk governance structures, formalising reporting frameworks, advancing succession planning, and continuing to embed Board development and culture initiatives, with several actions already underway to address these points. The Board remains committed to continuous improvement and consider</w:t>
            </w:r>
            <w:r w:rsidR="00292EB9">
              <w:rPr>
                <w:rFonts w:cstheme="minorHAnsi"/>
                <w:sz w:val="24"/>
                <w:szCs w:val="24"/>
              </w:rPr>
              <w:t>s</w:t>
            </w:r>
            <w:r w:rsidR="00C81C42" w:rsidRPr="00C81C42">
              <w:rPr>
                <w:rFonts w:cstheme="minorHAnsi"/>
                <w:sz w:val="24"/>
                <w:szCs w:val="24"/>
              </w:rPr>
              <w:t xml:space="preserve"> the full evaluation findings and peer feedback at </w:t>
            </w:r>
            <w:r w:rsidR="00292EB9">
              <w:rPr>
                <w:rFonts w:cstheme="minorHAnsi"/>
                <w:sz w:val="24"/>
                <w:szCs w:val="24"/>
              </w:rPr>
              <w:t>a Board meeting</w:t>
            </w:r>
            <w:r w:rsidR="00C81C42" w:rsidRPr="00C81C42">
              <w:rPr>
                <w:rFonts w:cstheme="minorHAnsi"/>
                <w:sz w:val="24"/>
                <w:szCs w:val="24"/>
              </w:rPr>
              <w:t xml:space="preserve"> to ensure that enhancements to governance processes and Board capability are implemented in a structured and timely manner.</w:t>
            </w:r>
            <w:r w:rsidR="00701D99">
              <w:rPr>
                <w:rFonts w:cstheme="minorHAnsi"/>
                <w:sz w:val="24"/>
                <w:szCs w:val="24"/>
              </w:rPr>
              <w:t xml:space="preserve">  </w:t>
            </w:r>
          </w:p>
          <w:p w14:paraId="484279EC" w14:textId="77777777" w:rsidR="000D613C" w:rsidRDefault="000D613C" w:rsidP="00E57C84">
            <w:pPr>
              <w:rPr>
                <w:rFonts w:cstheme="minorHAnsi"/>
                <w:sz w:val="24"/>
                <w:szCs w:val="24"/>
              </w:rPr>
            </w:pPr>
          </w:p>
          <w:p w14:paraId="2AC2603C" w14:textId="3C53D4B0" w:rsidR="005569E0" w:rsidRDefault="000D613C" w:rsidP="00E57C84">
            <w:pPr>
              <w:rPr>
                <w:rFonts w:cstheme="minorHAnsi"/>
                <w:sz w:val="24"/>
                <w:szCs w:val="24"/>
              </w:rPr>
            </w:pPr>
            <w:r>
              <w:rPr>
                <w:rFonts w:cstheme="minorHAnsi"/>
                <w:sz w:val="24"/>
                <w:szCs w:val="24"/>
              </w:rPr>
              <w:t xml:space="preserve">The </w:t>
            </w:r>
            <w:r w:rsidR="0099046A">
              <w:rPr>
                <w:rFonts w:cstheme="minorHAnsi"/>
                <w:sz w:val="24"/>
                <w:szCs w:val="24"/>
              </w:rPr>
              <w:t xml:space="preserve">Board has adopted a comprehensive plan which sets out the anticipated tenure and </w:t>
            </w:r>
            <w:r w:rsidR="00837B28">
              <w:rPr>
                <w:rFonts w:cstheme="minorHAnsi"/>
                <w:sz w:val="24"/>
                <w:szCs w:val="24"/>
              </w:rPr>
              <w:t>succession</w:t>
            </w:r>
            <w:r w:rsidR="0099046A">
              <w:rPr>
                <w:rFonts w:cstheme="minorHAnsi"/>
                <w:sz w:val="24"/>
                <w:szCs w:val="24"/>
              </w:rPr>
              <w:t xml:space="preserve"> of Board members </w:t>
            </w:r>
            <w:r w:rsidR="00837B28">
              <w:rPr>
                <w:rFonts w:cstheme="minorHAnsi"/>
                <w:sz w:val="24"/>
                <w:szCs w:val="24"/>
              </w:rPr>
              <w:t xml:space="preserve">in order to refresh and </w:t>
            </w:r>
            <w:r w:rsidR="00CF1D4E">
              <w:rPr>
                <w:rFonts w:cstheme="minorHAnsi"/>
                <w:sz w:val="24"/>
                <w:szCs w:val="24"/>
              </w:rPr>
              <w:t>update the Board and its capabilities on a regular and planned basis.</w:t>
            </w:r>
            <w:r w:rsidR="0099046A">
              <w:rPr>
                <w:rFonts w:cstheme="minorHAnsi"/>
                <w:sz w:val="24"/>
                <w:szCs w:val="24"/>
              </w:rPr>
              <w:t xml:space="preserve"> </w:t>
            </w:r>
            <w:r w:rsidR="002E115F">
              <w:rPr>
                <w:rFonts w:cstheme="minorHAnsi"/>
                <w:sz w:val="24"/>
                <w:szCs w:val="24"/>
              </w:rPr>
              <w:t xml:space="preserve">The Company Secretary is tasked with </w:t>
            </w:r>
            <w:r w:rsidR="00F872DF">
              <w:rPr>
                <w:rFonts w:cstheme="minorHAnsi"/>
                <w:sz w:val="24"/>
                <w:szCs w:val="24"/>
              </w:rPr>
              <w:t>implementing</w:t>
            </w:r>
            <w:r w:rsidR="002E115F">
              <w:rPr>
                <w:rFonts w:cstheme="minorHAnsi"/>
                <w:sz w:val="24"/>
                <w:szCs w:val="24"/>
              </w:rPr>
              <w:t xml:space="preserve"> </w:t>
            </w:r>
            <w:r w:rsidR="00947D95">
              <w:rPr>
                <w:rFonts w:cstheme="minorHAnsi"/>
                <w:sz w:val="24"/>
                <w:szCs w:val="24"/>
              </w:rPr>
              <w:t>a comprehensive induction and training process for</w:t>
            </w:r>
            <w:r w:rsidR="002E115F">
              <w:rPr>
                <w:rFonts w:cstheme="minorHAnsi"/>
                <w:sz w:val="24"/>
                <w:szCs w:val="24"/>
              </w:rPr>
              <w:t xml:space="preserve"> new Board members and executives</w:t>
            </w:r>
            <w:r w:rsidR="00947D95">
              <w:rPr>
                <w:rFonts w:cstheme="minorHAnsi"/>
                <w:sz w:val="24"/>
                <w:szCs w:val="24"/>
              </w:rPr>
              <w:t>.</w:t>
            </w:r>
          </w:p>
          <w:p w14:paraId="6EF93997" w14:textId="77777777" w:rsidR="0020426A" w:rsidRDefault="0020426A" w:rsidP="00E57C84">
            <w:pPr>
              <w:rPr>
                <w:rFonts w:cstheme="minorHAnsi"/>
                <w:sz w:val="24"/>
                <w:szCs w:val="24"/>
              </w:rPr>
            </w:pPr>
          </w:p>
          <w:p w14:paraId="2C96E3D0" w14:textId="31A9F890" w:rsidR="005B26DA" w:rsidRPr="00E57C84" w:rsidRDefault="0020426A" w:rsidP="00F12C14">
            <w:pPr>
              <w:rPr>
                <w:rFonts w:cstheme="minorHAnsi"/>
                <w:sz w:val="24"/>
                <w:szCs w:val="24"/>
              </w:rPr>
            </w:pPr>
            <w:r>
              <w:rPr>
                <w:rFonts w:cstheme="minorHAnsi"/>
                <w:sz w:val="24"/>
                <w:szCs w:val="24"/>
              </w:rPr>
              <w:t>A succession and development plan for senior managers</w:t>
            </w:r>
            <w:r w:rsidR="00336053">
              <w:rPr>
                <w:rFonts w:cstheme="minorHAnsi"/>
                <w:sz w:val="24"/>
                <w:szCs w:val="24"/>
              </w:rPr>
              <w:t xml:space="preserve">, facilitated </w:t>
            </w:r>
            <w:r w:rsidR="006C57BE">
              <w:rPr>
                <w:rFonts w:cstheme="minorHAnsi"/>
                <w:sz w:val="24"/>
                <w:szCs w:val="24"/>
              </w:rPr>
              <w:t>with the assistance of</w:t>
            </w:r>
            <w:r w:rsidR="004F6262">
              <w:rPr>
                <w:rFonts w:cstheme="minorHAnsi"/>
                <w:sz w:val="24"/>
                <w:szCs w:val="24"/>
              </w:rPr>
              <w:t xml:space="preserve"> the Company’s advisor</w:t>
            </w:r>
            <w:r w:rsidR="00336053">
              <w:rPr>
                <w:rFonts w:cstheme="minorHAnsi"/>
                <w:sz w:val="24"/>
                <w:szCs w:val="24"/>
              </w:rPr>
              <w:t xml:space="preserve"> Deloitte Consulting (Pty) Ltd,</w:t>
            </w:r>
            <w:r>
              <w:rPr>
                <w:rFonts w:cstheme="minorHAnsi"/>
                <w:sz w:val="24"/>
                <w:szCs w:val="24"/>
              </w:rPr>
              <w:t xml:space="preserve"> is </w:t>
            </w:r>
            <w:r w:rsidR="00C521DE">
              <w:rPr>
                <w:rFonts w:cstheme="minorHAnsi"/>
                <w:sz w:val="24"/>
                <w:szCs w:val="24"/>
              </w:rPr>
              <w:t xml:space="preserve">currently being </w:t>
            </w:r>
            <w:r w:rsidR="00E246AC">
              <w:rPr>
                <w:rFonts w:cstheme="minorHAnsi"/>
                <w:sz w:val="24"/>
                <w:szCs w:val="24"/>
              </w:rPr>
              <w:t>developed</w:t>
            </w:r>
            <w:r w:rsidR="00C521DE">
              <w:rPr>
                <w:rFonts w:cstheme="minorHAnsi"/>
                <w:sz w:val="24"/>
                <w:szCs w:val="24"/>
              </w:rPr>
              <w:t xml:space="preserve"> which will provide contingency planning for the absence of key staff and anticipated succession</w:t>
            </w:r>
            <w:r w:rsidR="00336053">
              <w:rPr>
                <w:rFonts w:cstheme="minorHAnsi"/>
                <w:sz w:val="24"/>
                <w:szCs w:val="24"/>
              </w:rPr>
              <w:t xml:space="preserve"> </w:t>
            </w:r>
            <w:r w:rsidR="00834F1C">
              <w:rPr>
                <w:rFonts w:cstheme="minorHAnsi"/>
                <w:sz w:val="24"/>
                <w:szCs w:val="24"/>
              </w:rPr>
              <w:t>plans for those managers</w:t>
            </w:r>
            <w:r w:rsidR="00715BDA">
              <w:rPr>
                <w:rFonts w:cstheme="minorHAnsi"/>
                <w:sz w:val="24"/>
                <w:szCs w:val="24"/>
              </w:rPr>
              <w:t xml:space="preserve"> and those expected to succeed them</w:t>
            </w:r>
            <w:r w:rsidR="00834F1C">
              <w:rPr>
                <w:rFonts w:cstheme="minorHAnsi"/>
                <w:sz w:val="24"/>
                <w:szCs w:val="24"/>
              </w:rPr>
              <w:t>.</w:t>
            </w:r>
          </w:p>
        </w:tc>
      </w:tr>
      <w:tr w:rsidR="00800362" w:rsidRPr="00E57C84" w14:paraId="231372FB" w14:textId="77777777" w:rsidTr="00221CE9">
        <w:tc>
          <w:tcPr>
            <w:tcW w:w="562" w:type="dxa"/>
          </w:tcPr>
          <w:p w14:paraId="72843AA8" w14:textId="77777777" w:rsidR="008818B1" w:rsidRPr="00E57C84" w:rsidRDefault="008818B1" w:rsidP="008818B1">
            <w:pPr>
              <w:pStyle w:val="ListParagraph"/>
              <w:numPr>
                <w:ilvl w:val="0"/>
                <w:numId w:val="1"/>
              </w:numPr>
              <w:ind w:left="306" w:hanging="284"/>
              <w:rPr>
                <w:rFonts w:cstheme="minorHAnsi"/>
                <w:color w:val="000000"/>
                <w:sz w:val="24"/>
                <w:szCs w:val="24"/>
              </w:rPr>
            </w:pPr>
          </w:p>
        </w:tc>
        <w:tc>
          <w:tcPr>
            <w:tcW w:w="2977" w:type="dxa"/>
          </w:tcPr>
          <w:p w14:paraId="2A525BF0" w14:textId="1889AE18" w:rsidR="004C6302" w:rsidRPr="00E57C84" w:rsidRDefault="004C6302" w:rsidP="008818B1">
            <w:pPr>
              <w:rPr>
                <w:rFonts w:cstheme="minorHAnsi"/>
                <w:sz w:val="24"/>
                <w:szCs w:val="24"/>
              </w:rPr>
            </w:pPr>
            <w:r w:rsidRPr="004C6302">
              <w:rPr>
                <w:rFonts w:cstheme="minorHAnsi"/>
                <w:sz w:val="24"/>
                <w:szCs w:val="24"/>
              </w:rPr>
              <w:t>Establish a remuneration policy which is supportive of long-term value creation and the company’s purpose, strategy and culture</w:t>
            </w:r>
          </w:p>
        </w:tc>
        <w:tc>
          <w:tcPr>
            <w:tcW w:w="10490" w:type="dxa"/>
          </w:tcPr>
          <w:p w14:paraId="1680D7A5" w14:textId="751CF43A" w:rsidR="00356326" w:rsidRDefault="002827BE" w:rsidP="0066318F">
            <w:pPr>
              <w:rPr>
                <w:rFonts w:cstheme="minorHAnsi"/>
                <w:sz w:val="24"/>
                <w:szCs w:val="24"/>
              </w:rPr>
            </w:pPr>
            <w:r>
              <w:rPr>
                <w:rFonts w:cstheme="minorHAnsi"/>
                <w:sz w:val="24"/>
                <w:szCs w:val="24"/>
              </w:rPr>
              <w:t>The group’s compensation policy</w:t>
            </w:r>
            <w:r w:rsidR="00CB6729">
              <w:rPr>
                <w:rFonts w:cstheme="minorHAnsi"/>
                <w:sz w:val="24"/>
                <w:szCs w:val="24"/>
              </w:rPr>
              <w:t>, which was created with the assistance of external remuneration specialists,</w:t>
            </w:r>
            <w:r>
              <w:rPr>
                <w:rFonts w:cstheme="minorHAnsi"/>
                <w:sz w:val="24"/>
                <w:szCs w:val="24"/>
              </w:rPr>
              <w:t xml:space="preserve"> is set out at Annex</w:t>
            </w:r>
            <w:r w:rsidR="003428AB">
              <w:rPr>
                <w:rFonts w:cstheme="minorHAnsi"/>
                <w:sz w:val="24"/>
                <w:szCs w:val="24"/>
              </w:rPr>
              <w:t>ure</w:t>
            </w:r>
            <w:r>
              <w:rPr>
                <w:rFonts w:cstheme="minorHAnsi"/>
                <w:sz w:val="24"/>
                <w:szCs w:val="24"/>
              </w:rPr>
              <w:t xml:space="preserve"> 1 to the charter of the Compensation Committee, which can be found </w:t>
            </w:r>
            <w:hyperlink r:id="rId29" w:history="1">
              <w:r w:rsidRPr="00C077C2">
                <w:rPr>
                  <w:rStyle w:val="Hyperlink"/>
                  <w:rFonts w:cstheme="minorHAnsi"/>
                  <w:sz w:val="24"/>
                  <w:szCs w:val="24"/>
                </w:rPr>
                <w:t>here</w:t>
              </w:r>
            </w:hyperlink>
            <w:r w:rsidR="003428AB">
              <w:rPr>
                <w:rFonts w:cstheme="minorHAnsi"/>
                <w:sz w:val="24"/>
                <w:szCs w:val="24"/>
              </w:rPr>
              <w:t xml:space="preserve">.  </w:t>
            </w:r>
            <w:r w:rsidR="006C6B7F">
              <w:rPr>
                <w:rFonts w:cstheme="minorHAnsi"/>
                <w:sz w:val="24"/>
                <w:szCs w:val="24"/>
              </w:rPr>
              <w:t xml:space="preserve">The purpose of the policy is to </w:t>
            </w:r>
            <w:r w:rsidR="0066318F" w:rsidRPr="0066318F">
              <w:rPr>
                <w:rFonts w:cstheme="minorHAnsi"/>
                <w:sz w:val="24"/>
                <w:szCs w:val="24"/>
              </w:rPr>
              <w:t>provide the foundation for the effective governance of compensation practices, and articulates the Compensation Committee’s direction on how compensation should be approached and managed.</w:t>
            </w:r>
            <w:r w:rsidR="0066318F">
              <w:rPr>
                <w:rFonts w:cstheme="minorHAnsi"/>
                <w:sz w:val="24"/>
                <w:szCs w:val="24"/>
              </w:rPr>
              <w:t xml:space="preserve"> </w:t>
            </w:r>
            <w:r w:rsidR="0066318F" w:rsidRPr="0066318F">
              <w:rPr>
                <w:rFonts w:cstheme="minorHAnsi"/>
                <w:sz w:val="24"/>
                <w:szCs w:val="24"/>
              </w:rPr>
              <w:t>The policy is underpinned by the Company’s values and desire to attract, motivate, and retain the employees needed to drive the business success of the Company.</w:t>
            </w:r>
          </w:p>
          <w:p w14:paraId="01378997" w14:textId="1F089381" w:rsidR="003D3C72" w:rsidRDefault="003D3C72" w:rsidP="0066318F">
            <w:pPr>
              <w:rPr>
                <w:rFonts w:cstheme="minorHAnsi"/>
                <w:sz w:val="24"/>
                <w:szCs w:val="24"/>
              </w:rPr>
            </w:pPr>
          </w:p>
          <w:p w14:paraId="37D18355" w14:textId="10965A71" w:rsidR="005B1FD4" w:rsidRDefault="00922101" w:rsidP="0066318F">
            <w:pPr>
              <w:rPr>
                <w:rFonts w:cstheme="minorHAnsi"/>
                <w:sz w:val="24"/>
                <w:szCs w:val="24"/>
              </w:rPr>
            </w:pPr>
            <w:r>
              <w:rPr>
                <w:rFonts w:cstheme="minorHAnsi"/>
                <w:sz w:val="24"/>
                <w:szCs w:val="24"/>
              </w:rPr>
              <w:t xml:space="preserve">A </w:t>
            </w:r>
            <w:r w:rsidR="00ED0774">
              <w:rPr>
                <w:rFonts w:cstheme="minorHAnsi"/>
                <w:sz w:val="24"/>
                <w:szCs w:val="24"/>
              </w:rPr>
              <w:t xml:space="preserve">detailed </w:t>
            </w:r>
            <w:r>
              <w:rPr>
                <w:rFonts w:cstheme="minorHAnsi"/>
                <w:sz w:val="24"/>
                <w:szCs w:val="24"/>
              </w:rPr>
              <w:t xml:space="preserve">report on executive compensation </w:t>
            </w:r>
            <w:r w:rsidR="00ED0774">
              <w:rPr>
                <w:rFonts w:cstheme="minorHAnsi"/>
                <w:sz w:val="24"/>
                <w:szCs w:val="24"/>
              </w:rPr>
              <w:t xml:space="preserve">and on Director compensation </w:t>
            </w:r>
            <w:r>
              <w:rPr>
                <w:rFonts w:cstheme="minorHAnsi"/>
                <w:sz w:val="24"/>
                <w:szCs w:val="24"/>
              </w:rPr>
              <w:t xml:space="preserve">is included in each annual </w:t>
            </w:r>
            <w:r w:rsidR="00C05AEE">
              <w:rPr>
                <w:rFonts w:cstheme="minorHAnsi"/>
                <w:sz w:val="24"/>
                <w:szCs w:val="24"/>
              </w:rPr>
              <w:t xml:space="preserve">management information circular </w:t>
            </w:r>
            <w:r w:rsidR="000A77AD">
              <w:rPr>
                <w:rFonts w:cstheme="minorHAnsi"/>
                <w:sz w:val="24"/>
                <w:szCs w:val="24"/>
              </w:rPr>
              <w:t xml:space="preserve">as well as </w:t>
            </w:r>
            <w:r w:rsidR="00C05AEE">
              <w:rPr>
                <w:rFonts w:cstheme="minorHAnsi"/>
                <w:sz w:val="24"/>
                <w:szCs w:val="24"/>
              </w:rPr>
              <w:t xml:space="preserve">in </w:t>
            </w:r>
            <w:r w:rsidR="000A77AD">
              <w:rPr>
                <w:rFonts w:cstheme="minorHAnsi"/>
                <w:sz w:val="24"/>
                <w:szCs w:val="24"/>
              </w:rPr>
              <w:t xml:space="preserve">Annual Reports on Form 20-F </w:t>
            </w:r>
            <w:r w:rsidR="008E3798">
              <w:rPr>
                <w:rFonts w:cstheme="minorHAnsi"/>
                <w:sz w:val="24"/>
                <w:szCs w:val="24"/>
              </w:rPr>
              <w:t xml:space="preserve">and should be referred to for further information on amounts earned and </w:t>
            </w:r>
            <w:r w:rsidR="00A70E4D">
              <w:rPr>
                <w:rFonts w:cstheme="minorHAnsi"/>
                <w:sz w:val="24"/>
                <w:szCs w:val="24"/>
              </w:rPr>
              <w:t xml:space="preserve">incentive </w:t>
            </w:r>
            <w:r w:rsidR="008E3798">
              <w:rPr>
                <w:rFonts w:cstheme="minorHAnsi"/>
                <w:sz w:val="24"/>
                <w:szCs w:val="24"/>
              </w:rPr>
              <w:t xml:space="preserve">awards granted during the </w:t>
            </w:r>
            <w:r w:rsidR="00A70E4D">
              <w:rPr>
                <w:rFonts w:cstheme="minorHAnsi"/>
                <w:sz w:val="24"/>
                <w:szCs w:val="24"/>
              </w:rPr>
              <w:t>preceding</w:t>
            </w:r>
            <w:r w:rsidR="008E3798">
              <w:rPr>
                <w:rFonts w:cstheme="minorHAnsi"/>
                <w:sz w:val="24"/>
                <w:szCs w:val="24"/>
              </w:rPr>
              <w:t xml:space="preserve"> three years.</w:t>
            </w:r>
            <w:r w:rsidR="00015D49">
              <w:rPr>
                <w:rFonts w:cstheme="minorHAnsi"/>
                <w:sz w:val="24"/>
                <w:szCs w:val="24"/>
              </w:rPr>
              <w:t xml:space="preserve">  </w:t>
            </w:r>
          </w:p>
          <w:p w14:paraId="0F5A7EA2" w14:textId="77777777" w:rsidR="005B1FD4" w:rsidRDefault="005B1FD4" w:rsidP="0066318F">
            <w:pPr>
              <w:rPr>
                <w:rFonts w:cstheme="minorHAnsi"/>
                <w:sz w:val="24"/>
                <w:szCs w:val="24"/>
              </w:rPr>
            </w:pPr>
          </w:p>
          <w:p w14:paraId="57DF49A8" w14:textId="3E6EBE9E" w:rsidR="005E3843" w:rsidRPr="005E3843" w:rsidRDefault="00DA1F1C" w:rsidP="005E3843">
            <w:pPr>
              <w:rPr>
                <w:rFonts w:cstheme="minorHAnsi"/>
                <w:sz w:val="24"/>
                <w:szCs w:val="24"/>
              </w:rPr>
            </w:pPr>
            <w:r>
              <w:rPr>
                <w:rFonts w:cstheme="minorHAnsi"/>
                <w:sz w:val="24"/>
                <w:szCs w:val="24"/>
              </w:rPr>
              <w:t>Caledonia</w:t>
            </w:r>
            <w:r w:rsidR="005E3843" w:rsidRPr="005E3843">
              <w:rPr>
                <w:rFonts w:cstheme="minorHAnsi"/>
                <w:sz w:val="24"/>
                <w:szCs w:val="24"/>
              </w:rPr>
              <w:t xml:space="preserve"> has considered the update</w:t>
            </w:r>
            <w:r w:rsidR="00EA5557">
              <w:rPr>
                <w:rFonts w:cstheme="minorHAnsi"/>
                <w:sz w:val="24"/>
                <w:szCs w:val="24"/>
              </w:rPr>
              <w:t>s</w:t>
            </w:r>
            <w:r w:rsidR="005E3843" w:rsidRPr="005E3843">
              <w:rPr>
                <w:rFonts w:cstheme="minorHAnsi"/>
                <w:sz w:val="24"/>
                <w:szCs w:val="24"/>
              </w:rPr>
              <w:t xml:space="preserve"> </w:t>
            </w:r>
            <w:r w:rsidR="00EA5557">
              <w:rPr>
                <w:rFonts w:cstheme="minorHAnsi"/>
                <w:sz w:val="24"/>
                <w:szCs w:val="24"/>
              </w:rPr>
              <w:t>to</w:t>
            </w:r>
            <w:r w:rsidR="005E3843" w:rsidRPr="005E3843">
              <w:rPr>
                <w:rFonts w:cstheme="minorHAnsi"/>
                <w:sz w:val="24"/>
                <w:szCs w:val="24"/>
              </w:rPr>
              <w:t xml:space="preserve"> Principle 9 of the QCA Corporate Governance Code, which recommend that AIM quoted companies submit their directors’ remuneration report and their directors’ remuneration policy to an advisory shareholder vote. As </w:t>
            </w:r>
            <w:r w:rsidR="000652D1">
              <w:rPr>
                <w:rFonts w:cstheme="minorHAnsi"/>
                <w:sz w:val="24"/>
                <w:szCs w:val="24"/>
              </w:rPr>
              <w:t>a foreign incorporated</w:t>
            </w:r>
            <w:r w:rsidR="005E3843" w:rsidRPr="005E3843">
              <w:rPr>
                <w:rFonts w:cstheme="minorHAnsi"/>
                <w:sz w:val="24"/>
                <w:szCs w:val="24"/>
              </w:rPr>
              <w:t xml:space="preserve"> AIM listed company, Caledonia is not subject to the UK Companies (Directors’ Remuneration Policy and Directors’ Remuneration Report) Regulations 2019, and there is no corresponding obligation in the Company’s jurisdiction of incorporation. </w:t>
            </w:r>
          </w:p>
          <w:p w14:paraId="2C1983DB" w14:textId="77777777" w:rsidR="005E3843" w:rsidRPr="005E3843" w:rsidRDefault="005E3843" w:rsidP="005E3843">
            <w:pPr>
              <w:rPr>
                <w:rFonts w:cstheme="minorHAnsi"/>
                <w:sz w:val="24"/>
                <w:szCs w:val="24"/>
              </w:rPr>
            </w:pPr>
          </w:p>
          <w:p w14:paraId="69E42985" w14:textId="27BB6F6C" w:rsidR="005E3843" w:rsidRPr="005E3843" w:rsidRDefault="005E3843" w:rsidP="005E3843">
            <w:pPr>
              <w:rPr>
                <w:rFonts w:cstheme="minorHAnsi"/>
                <w:sz w:val="24"/>
                <w:szCs w:val="24"/>
              </w:rPr>
            </w:pPr>
            <w:r w:rsidRPr="005E3843">
              <w:rPr>
                <w:rFonts w:cstheme="minorHAnsi"/>
                <w:sz w:val="24"/>
                <w:szCs w:val="24"/>
              </w:rPr>
              <w:t xml:space="preserve">The Company’s current remuneration disclosures provide shareholders with transparent, comprehensive information on </w:t>
            </w:r>
            <w:r w:rsidR="00380B5A" w:rsidRPr="005E3843">
              <w:rPr>
                <w:rFonts w:cstheme="minorHAnsi"/>
                <w:sz w:val="24"/>
                <w:szCs w:val="24"/>
              </w:rPr>
              <w:t xml:space="preserve">directors’ </w:t>
            </w:r>
            <w:r w:rsidRPr="005E3843">
              <w:rPr>
                <w:rFonts w:cstheme="minorHAnsi"/>
                <w:sz w:val="24"/>
                <w:szCs w:val="24"/>
              </w:rPr>
              <w:t xml:space="preserve">remuneration and </w:t>
            </w:r>
            <w:r w:rsidR="00755E81">
              <w:rPr>
                <w:rFonts w:cstheme="minorHAnsi"/>
                <w:sz w:val="24"/>
                <w:szCs w:val="24"/>
              </w:rPr>
              <w:t>policies and their</w:t>
            </w:r>
            <w:r w:rsidRPr="005E3843">
              <w:rPr>
                <w:rFonts w:cstheme="minorHAnsi"/>
                <w:sz w:val="24"/>
                <w:szCs w:val="24"/>
              </w:rPr>
              <w:t xml:space="preserve"> alignment with the Company’s long term strategic objectives. Given the regulatory framework applicable to the Company</w:t>
            </w:r>
            <w:r w:rsidR="00820629">
              <w:rPr>
                <w:rFonts w:cstheme="minorHAnsi"/>
                <w:sz w:val="24"/>
                <w:szCs w:val="24"/>
              </w:rPr>
              <w:t xml:space="preserve">, the involvement of </w:t>
            </w:r>
            <w:r w:rsidR="00C24433">
              <w:rPr>
                <w:rFonts w:cstheme="minorHAnsi"/>
                <w:sz w:val="24"/>
                <w:szCs w:val="24"/>
              </w:rPr>
              <w:t>external remuneration specialists in helping formulate policies and structures for remuneration</w:t>
            </w:r>
            <w:r w:rsidRPr="005E3843">
              <w:rPr>
                <w:rFonts w:cstheme="minorHAnsi"/>
                <w:sz w:val="24"/>
                <w:szCs w:val="24"/>
              </w:rPr>
              <w:t xml:space="preserve"> and the proportionality considerations for a business of Caledonia’s size and structure, </w:t>
            </w:r>
            <w:r w:rsidR="00E678E2">
              <w:rPr>
                <w:rFonts w:cstheme="minorHAnsi"/>
                <w:sz w:val="24"/>
                <w:szCs w:val="24"/>
              </w:rPr>
              <w:t>Caledonia</w:t>
            </w:r>
            <w:r w:rsidRPr="005E3843">
              <w:rPr>
                <w:rFonts w:cstheme="minorHAnsi"/>
                <w:sz w:val="24"/>
                <w:szCs w:val="24"/>
              </w:rPr>
              <w:t xml:space="preserve"> does not consider it necessary to introduce additional advisory voting mechanisms at this time.</w:t>
            </w:r>
          </w:p>
          <w:p w14:paraId="7119BFA9" w14:textId="77777777" w:rsidR="005E3843" w:rsidRPr="005E3843" w:rsidRDefault="005E3843" w:rsidP="005E3843">
            <w:pPr>
              <w:rPr>
                <w:rFonts w:cstheme="minorHAnsi"/>
                <w:sz w:val="24"/>
                <w:szCs w:val="24"/>
              </w:rPr>
            </w:pPr>
          </w:p>
          <w:p w14:paraId="3D56AEF2" w14:textId="77777777" w:rsidR="00547041" w:rsidRDefault="005E3843" w:rsidP="005E3843">
            <w:pPr>
              <w:rPr>
                <w:rFonts w:cstheme="minorHAnsi"/>
                <w:sz w:val="24"/>
                <w:szCs w:val="24"/>
              </w:rPr>
            </w:pPr>
            <w:r w:rsidRPr="005E3843">
              <w:rPr>
                <w:rFonts w:cstheme="minorHAnsi"/>
                <w:sz w:val="24"/>
                <w:szCs w:val="24"/>
              </w:rPr>
              <w:t>Caledonia maintains regular and open engagement with shareholders</w:t>
            </w:r>
            <w:r w:rsidR="00AE11E1">
              <w:rPr>
                <w:rFonts w:cstheme="minorHAnsi"/>
                <w:sz w:val="24"/>
                <w:szCs w:val="24"/>
              </w:rPr>
              <w:t xml:space="preserve"> </w:t>
            </w:r>
            <w:r w:rsidRPr="005E3843">
              <w:rPr>
                <w:rFonts w:cstheme="minorHAnsi"/>
                <w:sz w:val="24"/>
                <w:szCs w:val="24"/>
              </w:rPr>
              <w:t xml:space="preserve">through </w:t>
            </w:r>
            <w:r w:rsidR="00AE11E1">
              <w:rPr>
                <w:rFonts w:cstheme="minorHAnsi"/>
                <w:sz w:val="24"/>
                <w:szCs w:val="24"/>
              </w:rPr>
              <w:t xml:space="preserve">its disclosures, </w:t>
            </w:r>
            <w:r w:rsidRPr="005E3843">
              <w:rPr>
                <w:rFonts w:cstheme="minorHAnsi"/>
                <w:sz w:val="24"/>
                <w:szCs w:val="24"/>
              </w:rPr>
              <w:t>meetings, roadshows and results presentations. Feedback from these interactions is relayed to the Board and</w:t>
            </w:r>
            <w:r w:rsidR="00183489">
              <w:rPr>
                <w:rFonts w:cstheme="minorHAnsi"/>
                <w:sz w:val="24"/>
                <w:szCs w:val="24"/>
              </w:rPr>
              <w:t xml:space="preserve"> should there be any comments concerning remuneration these will be</w:t>
            </w:r>
            <w:r w:rsidRPr="005E3843">
              <w:rPr>
                <w:rFonts w:cstheme="minorHAnsi"/>
                <w:sz w:val="24"/>
                <w:szCs w:val="24"/>
              </w:rPr>
              <w:t xml:space="preserve"> taken into account in </w:t>
            </w:r>
            <w:r w:rsidRPr="005E3843">
              <w:rPr>
                <w:rFonts w:cstheme="minorHAnsi"/>
                <w:sz w:val="24"/>
                <w:szCs w:val="24"/>
              </w:rPr>
              <w:lastRenderedPageBreak/>
              <w:t xml:space="preserve">remuneration decision making. The Board considers this direct engagement to be an effective means for shareholders to express their views without the need for additional advisory voting structures. </w:t>
            </w:r>
          </w:p>
          <w:p w14:paraId="3576A13B" w14:textId="77777777" w:rsidR="00547041" w:rsidRDefault="00547041" w:rsidP="005E3843">
            <w:pPr>
              <w:rPr>
                <w:rFonts w:cstheme="minorHAnsi"/>
                <w:sz w:val="24"/>
                <w:szCs w:val="24"/>
              </w:rPr>
            </w:pPr>
          </w:p>
          <w:p w14:paraId="349DC175" w14:textId="00E988AE" w:rsidR="004C6302" w:rsidRPr="00E57C84" w:rsidRDefault="005E3843" w:rsidP="005E3843">
            <w:pPr>
              <w:rPr>
                <w:rFonts w:cstheme="minorHAnsi"/>
                <w:sz w:val="24"/>
                <w:szCs w:val="24"/>
              </w:rPr>
            </w:pPr>
            <w:r w:rsidRPr="005E3843">
              <w:rPr>
                <w:rFonts w:cstheme="minorHAnsi"/>
                <w:sz w:val="24"/>
                <w:szCs w:val="24"/>
              </w:rPr>
              <w:t>The Board</w:t>
            </w:r>
            <w:r w:rsidR="00547041">
              <w:rPr>
                <w:rFonts w:cstheme="minorHAnsi"/>
                <w:sz w:val="24"/>
                <w:szCs w:val="24"/>
              </w:rPr>
              <w:t>, with the assistance of its Compensation Committee and external remuneration specialists,</w:t>
            </w:r>
            <w:r w:rsidR="0068209F">
              <w:rPr>
                <w:rFonts w:cstheme="minorHAnsi"/>
                <w:sz w:val="24"/>
                <w:szCs w:val="24"/>
              </w:rPr>
              <w:t xml:space="preserve"> is </w:t>
            </w:r>
            <w:r w:rsidR="00845F00">
              <w:rPr>
                <w:rFonts w:cstheme="minorHAnsi"/>
                <w:sz w:val="24"/>
                <w:szCs w:val="24"/>
              </w:rPr>
              <w:t>satisfied that</w:t>
            </w:r>
            <w:r w:rsidR="0068209F">
              <w:rPr>
                <w:rFonts w:cstheme="minorHAnsi"/>
                <w:sz w:val="24"/>
                <w:szCs w:val="24"/>
              </w:rPr>
              <w:t xml:space="preserve"> the Company’s remuneration polices and structures are fit for purpose</w:t>
            </w:r>
            <w:r w:rsidR="00FD6E8C">
              <w:rPr>
                <w:rFonts w:cstheme="minorHAnsi"/>
                <w:sz w:val="24"/>
                <w:szCs w:val="24"/>
              </w:rPr>
              <w:t>,</w:t>
            </w:r>
            <w:r w:rsidR="0068209F">
              <w:rPr>
                <w:rFonts w:cstheme="minorHAnsi"/>
                <w:sz w:val="24"/>
                <w:szCs w:val="24"/>
              </w:rPr>
              <w:t xml:space="preserve"> </w:t>
            </w:r>
            <w:r w:rsidR="00FD6E8C">
              <w:rPr>
                <w:rFonts w:cstheme="minorHAnsi"/>
                <w:sz w:val="24"/>
                <w:szCs w:val="24"/>
              </w:rPr>
              <w:t xml:space="preserve">it </w:t>
            </w:r>
            <w:r w:rsidRPr="005E3843">
              <w:rPr>
                <w:rFonts w:cstheme="minorHAnsi"/>
                <w:sz w:val="24"/>
                <w:szCs w:val="24"/>
              </w:rPr>
              <w:t>remains committed to maintaining clear remuneration reporting and will continue to review its approach as market practice evolves.</w:t>
            </w:r>
          </w:p>
        </w:tc>
      </w:tr>
      <w:tr w:rsidR="009E40E1" w:rsidRPr="00E57C84" w14:paraId="7CBF7011" w14:textId="77777777" w:rsidTr="00800362">
        <w:tc>
          <w:tcPr>
            <w:tcW w:w="14029" w:type="dxa"/>
            <w:gridSpan w:val="3"/>
          </w:tcPr>
          <w:p w14:paraId="20C33B1C" w14:textId="2F699CF7" w:rsidR="009E40E1" w:rsidRPr="00E57C84" w:rsidRDefault="009E40E1" w:rsidP="008818B1">
            <w:pPr>
              <w:rPr>
                <w:rFonts w:cstheme="minorHAnsi"/>
                <w:sz w:val="24"/>
                <w:szCs w:val="24"/>
              </w:rPr>
            </w:pPr>
            <w:r w:rsidRPr="00E57C84">
              <w:rPr>
                <w:rStyle w:val="A1"/>
                <w:rFonts w:cstheme="minorHAnsi"/>
                <w:sz w:val="24"/>
                <w:szCs w:val="24"/>
              </w:rPr>
              <w:lastRenderedPageBreak/>
              <w:t>BUILD TRUST</w:t>
            </w:r>
          </w:p>
        </w:tc>
      </w:tr>
      <w:tr w:rsidR="004E0BFD" w:rsidRPr="00E57C84" w14:paraId="234290C6" w14:textId="77777777" w:rsidTr="00E57C84">
        <w:tc>
          <w:tcPr>
            <w:tcW w:w="3539" w:type="dxa"/>
            <w:gridSpan w:val="2"/>
          </w:tcPr>
          <w:p w14:paraId="2582F08B" w14:textId="5B782554" w:rsidR="004E0BFD" w:rsidRPr="00EF15ED" w:rsidRDefault="004E0BFD" w:rsidP="004E0BFD">
            <w:pPr>
              <w:rPr>
                <w:rFonts w:cstheme="minorHAnsi"/>
                <w:b/>
                <w:bCs/>
                <w:color w:val="000000"/>
                <w:sz w:val="24"/>
                <w:szCs w:val="24"/>
              </w:rPr>
            </w:pPr>
            <w:r w:rsidRPr="00EF15ED">
              <w:rPr>
                <w:rFonts w:cstheme="minorHAnsi"/>
                <w:b/>
                <w:bCs/>
                <w:i/>
                <w:iCs/>
                <w:color w:val="000000"/>
                <w:sz w:val="24"/>
                <w:szCs w:val="24"/>
              </w:rPr>
              <w:t>PRINCIPLE</w:t>
            </w:r>
          </w:p>
        </w:tc>
        <w:tc>
          <w:tcPr>
            <w:tcW w:w="10490" w:type="dxa"/>
          </w:tcPr>
          <w:p w14:paraId="2B52D1AC" w14:textId="2B3CE45A" w:rsidR="004E0BFD" w:rsidRPr="00EF15ED" w:rsidRDefault="004E0BFD" w:rsidP="004E0BFD">
            <w:pPr>
              <w:rPr>
                <w:rFonts w:cstheme="minorHAnsi"/>
                <w:b/>
                <w:bCs/>
                <w:sz w:val="24"/>
                <w:szCs w:val="24"/>
              </w:rPr>
            </w:pPr>
            <w:r w:rsidRPr="00EF15ED">
              <w:rPr>
                <w:rFonts w:cstheme="minorHAnsi"/>
                <w:b/>
                <w:bCs/>
                <w:i/>
                <w:iCs/>
                <w:sz w:val="24"/>
                <w:szCs w:val="24"/>
                <w:lang w:val="en-CA"/>
              </w:rPr>
              <w:t>APPLICATION</w:t>
            </w:r>
          </w:p>
        </w:tc>
      </w:tr>
      <w:tr w:rsidR="00800362" w:rsidRPr="00E57C84" w14:paraId="0DAEE272" w14:textId="77777777" w:rsidTr="00221CE9">
        <w:tc>
          <w:tcPr>
            <w:tcW w:w="562" w:type="dxa"/>
          </w:tcPr>
          <w:p w14:paraId="41E8A06E" w14:textId="77777777" w:rsidR="008818B1" w:rsidRPr="00E57C84" w:rsidRDefault="008818B1" w:rsidP="008818B1">
            <w:pPr>
              <w:pStyle w:val="ListParagraph"/>
              <w:numPr>
                <w:ilvl w:val="0"/>
                <w:numId w:val="1"/>
              </w:numPr>
              <w:ind w:left="306" w:hanging="284"/>
              <w:rPr>
                <w:rFonts w:cstheme="minorHAnsi"/>
                <w:color w:val="000000"/>
                <w:sz w:val="24"/>
                <w:szCs w:val="24"/>
              </w:rPr>
            </w:pPr>
          </w:p>
        </w:tc>
        <w:tc>
          <w:tcPr>
            <w:tcW w:w="2977" w:type="dxa"/>
          </w:tcPr>
          <w:p w14:paraId="03F83D0F" w14:textId="746E2E06" w:rsidR="008818B1" w:rsidRPr="00E57C84" w:rsidRDefault="008818B1" w:rsidP="008818B1">
            <w:pPr>
              <w:rPr>
                <w:rFonts w:cstheme="minorHAnsi"/>
                <w:sz w:val="24"/>
                <w:szCs w:val="24"/>
              </w:rPr>
            </w:pPr>
            <w:r w:rsidRPr="00E57C84">
              <w:rPr>
                <w:rFonts w:cstheme="minorHAnsi"/>
                <w:color w:val="000000"/>
                <w:sz w:val="24"/>
                <w:szCs w:val="24"/>
              </w:rPr>
              <w:t>Communicate how the company is governed and is performing by maintaining a dialogue with shareholders and other relevant stakeholders</w:t>
            </w:r>
          </w:p>
        </w:tc>
        <w:tc>
          <w:tcPr>
            <w:tcW w:w="10490" w:type="dxa"/>
          </w:tcPr>
          <w:p w14:paraId="107B64AE" w14:textId="77777777" w:rsidR="008818B1" w:rsidRDefault="00221CE9" w:rsidP="008818B1">
            <w:pPr>
              <w:rPr>
                <w:rFonts w:cstheme="minorHAnsi"/>
                <w:sz w:val="24"/>
                <w:szCs w:val="24"/>
              </w:rPr>
            </w:pPr>
            <w:r w:rsidRPr="00221CE9">
              <w:rPr>
                <w:rFonts w:cstheme="minorHAnsi"/>
                <w:sz w:val="24"/>
                <w:szCs w:val="24"/>
              </w:rPr>
              <w:t xml:space="preserve">The Board attaches </w:t>
            </w:r>
            <w:r>
              <w:rPr>
                <w:rFonts w:cstheme="minorHAnsi"/>
                <w:sz w:val="24"/>
                <w:szCs w:val="24"/>
              </w:rPr>
              <w:t>significant</w:t>
            </w:r>
            <w:r w:rsidRPr="00221CE9">
              <w:rPr>
                <w:rFonts w:cstheme="minorHAnsi"/>
                <w:sz w:val="24"/>
                <w:szCs w:val="24"/>
              </w:rPr>
              <w:t xml:space="preserve"> importance to providing shareholders with clear and transparent information on the Company's activities, strategy and financial position.</w:t>
            </w:r>
          </w:p>
          <w:p w14:paraId="3AE1392B" w14:textId="77777777" w:rsidR="00694A37" w:rsidRDefault="00694A37" w:rsidP="008818B1">
            <w:pPr>
              <w:rPr>
                <w:rFonts w:cstheme="minorHAnsi"/>
                <w:sz w:val="24"/>
                <w:szCs w:val="24"/>
              </w:rPr>
            </w:pPr>
          </w:p>
          <w:p w14:paraId="60610127" w14:textId="7ECC72FF" w:rsidR="002A7645" w:rsidRDefault="002A7645" w:rsidP="002A7645">
            <w:pPr>
              <w:rPr>
                <w:rFonts w:cstheme="minorHAnsi"/>
                <w:sz w:val="24"/>
                <w:szCs w:val="24"/>
              </w:rPr>
            </w:pPr>
            <w:r>
              <w:rPr>
                <w:rFonts w:cstheme="minorHAnsi"/>
                <w:sz w:val="24"/>
                <w:szCs w:val="24"/>
              </w:rPr>
              <w:t xml:space="preserve">Management holds investor </w:t>
            </w:r>
            <w:r w:rsidR="0073269D">
              <w:rPr>
                <w:rFonts w:cstheme="minorHAnsi"/>
                <w:sz w:val="24"/>
                <w:szCs w:val="24"/>
              </w:rPr>
              <w:t xml:space="preserve">and analyst </w:t>
            </w:r>
            <w:r>
              <w:rPr>
                <w:rFonts w:cstheme="minorHAnsi"/>
                <w:sz w:val="24"/>
                <w:szCs w:val="24"/>
              </w:rPr>
              <w:t>conference calls</w:t>
            </w:r>
            <w:r w:rsidRPr="002A7645">
              <w:rPr>
                <w:rFonts w:cstheme="minorHAnsi"/>
                <w:sz w:val="24"/>
                <w:szCs w:val="24"/>
              </w:rPr>
              <w:t xml:space="preserve"> following the release of</w:t>
            </w:r>
            <w:r>
              <w:rPr>
                <w:rFonts w:cstheme="minorHAnsi"/>
                <w:sz w:val="24"/>
                <w:szCs w:val="24"/>
              </w:rPr>
              <w:t xml:space="preserve"> </w:t>
            </w:r>
            <w:r w:rsidR="00A7594A">
              <w:rPr>
                <w:rFonts w:cstheme="minorHAnsi"/>
                <w:sz w:val="24"/>
                <w:szCs w:val="24"/>
              </w:rPr>
              <w:t>half and full year</w:t>
            </w:r>
            <w:r w:rsidRPr="002A7645">
              <w:rPr>
                <w:rFonts w:cstheme="minorHAnsi"/>
                <w:sz w:val="24"/>
                <w:szCs w:val="24"/>
              </w:rPr>
              <w:t xml:space="preserve"> financial results and the </w:t>
            </w:r>
            <w:r>
              <w:rPr>
                <w:rFonts w:cstheme="minorHAnsi"/>
                <w:sz w:val="24"/>
                <w:szCs w:val="24"/>
              </w:rPr>
              <w:t>Company holds a</w:t>
            </w:r>
            <w:r w:rsidR="0073269D">
              <w:rPr>
                <w:rFonts w:cstheme="minorHAnsi"/>
                <w:sz w:val="24"/>
                <w:szCs w:val="24"/>
              </w:rPr>
              <w:t xml:space="preserve"> </w:t>
            </w:r>
            <w:r w:rsidRPr="002A7645">
              <w:rPr>
                <w:rFonts w:cstheme="minorHAnsi"/>
                <w:sz w:val="24"/>
                <w:szCs w:val="24"/>
              </w:rPr>
              <w:t>general</w:t>
            </w:r>
            <w:r w:rsidR="0073269D">
              <w:rPr>
                <w:rFonts w:cstheme="minorHAnsi"/>
                <w:sz w:val="24"/>
                <w:szCs w:val="24"/>
              </w:rPr>
              <w:t xml:space="preserve"> meeting</w:t>
            </w:r>
            <w:r w:rsidRPr="002A7645">
              <w:rPr>
                <w:rFonts w:cstheme="minorHAnsi"/>
                <w:sz w:val="24"/>
                <w:szCs w:val="24"/>
              </w:rPr>
              <w:t xml:space="preserve"> </w:t>
            </w:r>
            <w:r w:rsidR="0073269D">
              <w:rPr>
                <w:rFonts w:cstheme="minorHAnsi"/>
                <w:sz w:val="24"/>
                <w:szCs w:val="24"/>
              </w:rPr>
              <w:t xml:space="preserve">each year </w:t>
            </w:r>
            <w:r>
              <w:rPr>
                <w:rFonts w:cstheme="minorHAnsi"/>
                <w:sz w:val="24"/>
                <w:szCs w:val="24"/>
              </w:rPr>
              <w:t xml:space="preserve">at which </w:t>
            </w:r>
            <w:r w:rsidRPr="002A7645">
              <w:rPr>
                <w:rFonts w:cstheme="minorHAnsi"/>
                <w:sz w:val="24"/>
                <w:szCs w:val="24"/>
              </w:rPr>
              <w:t xml:space="preserve">shareholders </w:t>
            </w:r>
            <w:r w:rsidR="0073269D">
              <w:rPr>
                <w:rFonts w:cstheme="minorHAnsi"/>
                <w:sz w:val="24"/>
                <w:szCs w:val="24"/>
              </w:rPr>
              <w:t xml:space="preserve">have the right to speak and ask questions of the Board and management. </w:t>
            </w:r>
          </w:p>
          <w:p w14:paraId="183EE073" w14:textId="77777777" w:rsidR="002A7645" w:rsidRPr="002A7645" w:rsidRDefault="002A7645" w:rsidP="002A7645">
            <w:pPr>
              <w:rPr>
                <w:rFonts w:cstheme="minorHAnsi"/>
                <w:sz w:val="24"/>
                <w:szCs w:val="24"/>
              </w:rPr>
            </w:pPr>
          </w:p>
          <w:p w14:paraId="04760DBD" w14:textId="614D7686" w:rsidR="002A7645" w:rsidRDefault="002A7645" w:rsidP="002A7645">
            <w:pPr>
              <w:rPr>
                <w:rFonts w:cstheme="minorHAnsi"/>
                <w:sz w:val="24"/>
                <w:szCs w:val="24"/>
              </w:rPr>
            </w:pPr>
            <w:r w:rsidRPr="002A7645">
              <w:rPr>
                <w:rFonts w:cstheme="minorHAnsi"/>
                <w:sz w:val="24"/>
                <w:szCs w:val="24"/>
              </w:rPr>
              <w:t xml:space="preserve">The Board receives regular updates on the views of shareholders through briefings and reports from the </w:t>
            </w:r>
            <w:r>
              <w:rPr>
                <w:rFonts w:cstheme="minorHAnsi"/>
                <w:sz w:val="24"/>
                <w:szCs w:val="24"/>
              </w:rPr>
              <w:t>CEO</w:t>
            </w:r>
            <w:r w:rsidRPr="002A7645">
              <w:rPr>
                <w:rFonts w:cstheme="minorHAnsi"/>
                <w:sz w:val="24"/>
                <w:szCs w:val="24"/>
              </w:rPr>
              <w:t xml:space="preserve">, </w:t>
            </w:r>
            <w:r w:rsidR="00875887">
              <w:rPr>
                <w:rFonts w:cstheme="minorHAnsi"/>
                <w:sz w:val="24"/>
                <w:szCs w:val="24"/>
              </w:rPr>
              <w:t xml:space="preserve">the VP </w:t>
            </w:r>
            <w:r w:rsidR="00A34B8D">
              <w:rPr>
                <w:rFonts w:cstheme="minorHAnsi"/>
                <w:sz w:val="24"/>
                <w:szCs w:val="24"/>
              </w:rPr>
              <w:t>Communications</w:t>
            </w:r>
            <w:r w:rsidRPr="002A7645">
              <w:rPr>
                <w:rFonts w:cstheme="minorHAnsi"/>
                <w:sz w:val="24"/>
                <w:szCs w:val="24"/>
              </w:rPr>
              <w:t xml:space="preserve"> and the Company’s </w:t>
            </w:r>
            <w:r w:rsidR="00484785">
              <w:rPr>
                <w:rFonts w:cstheme="minorHAnsi"/>
                <w:sz w:val="24"/>
                <w:szCs w:val="24"/>
              </w:rPr>
              <w:t>financial advisors</w:t>
            </w:r>
            <w:r w:rsidR="0073269D">
              <w:rPr>
                <w:rFonts w:cstheme="minorHAnsi"/>
                <w:sz w:val="24"/>
                <w:szCs w:val="24"/>
              </w:rPr>
              <w:t>, as well as feedback on meetings with investors and potential investors at industry events attended by management</w:t>
            </w:r>
            <w:r w:rsidRPr="002A7645">
              <w:rPr>
                <w:rFonts w:cstheme="minorHAnsi"/>
                <w:sz w:val="24"/>
                <w:szCs w:val="24"/>
              </w:rPr>
              <w:t>. In addition, analysts’ notes and brokers’ briefings are</w:t>
            </w:r>
            <w:r>
              <w:rPr>
                <w:rFonts w:cstheme="minorHAnsi"/>
                <w:sz w:val="24"/>
                <w:szCs w:val="24"/>
              </w:rPr>
              <w:t xml:space="preserve"> often</w:t>
            </w:r>
            <w:r w:rsidRPr="002A7645">
              <w:rPr>
                <w:rFonts w:cstheme="minorHAnsi"/>
                <w:sz w:val="24"/>
                <w:szCs w:val="24"/>
              </w:rPr>
              <w:t xml:space="preserve"> </w:t>
            </w:r>
            <w:r>
              <w:rPr>
                <w:rFonts w:cstheme="minorHAnsi"/>
                <w:sz w:val="24"/>
                <w:szCs w:val="24"/>
              </w:rPr>
              <w:t>circulated</w:t>
            </w:r>
            <w:r w:rsidRPr="002A7645">
              <w:rPr>
                <w:rFonts w:cstheme="minorHAnsi"/>
                <w:sz w:val="24"/>
                <w:szCs w:val="24"/>
              </w:rPr>
              <w:t xml:space="preserve"> to achieve a wide understanding of investors’ views.</w:t>
            </w:r>
          </w:p>
          <w:p w14:paraId="3F64C009" w14:textId="77777777" w:rsidR="002A7645" w:rsidRPr="002A7645" w:rsidRDefault="002A7645" w:rsidP="002A7645">
            <w:pPr>
              <w:rPr>
                <w:rFonts w:cstheme="minorHAnsi"/>
                <w:sz w:val="24"/>
                <w:szCs w:val="24"/>
              </w:rPr>
            </w:pPr>
          </w:p>
          <w:p w14:paraId="696BC74D" w14:textId="5E91D872" w:rsidR="002A7645" w:rsidRDefault="002A7645" w:rsidP="002A7645">
            <w:pPr>
              <w:rPr>
                <w:rFonts w:cstheme="minorHAnsi"/>
                <w:sz w:val="24"/>
                <w:szCs w:val="24"/>
              </w:rPr>
            </w:pPr>
            <w:r w:rsidRPr="002A7645">
              <w:rPr>
                <w:rFonts w:cstheme="minorHAnsi"/>
                <w:sz w:val="24"/>
                <w:szCs w:val="24"/>
              </w:rPr>
              <w:t xml:space="preserve">The Company discloses contact details on its website and on announcements released via RNS, </w:t>
            </w:r>
            <w:r w:rsidR="003B249B">
              <w:rPr>
                <w:rFonts w:cstheme="minorHAnsi"/>
                <w:sz w:val="24"/>
                <w:szCs w:val="24"/>
              </w:rPr>
              <w:t xml:space="preserve">and in this corporate governance statement, </w:t>
            </w:r>
            <w:r w:rsidRPr="002A7645">
              <w:rPr>
                <w:rFonts w:cstheme="minorHAnsi"/>
                <w:sz w:val="24"/>
                <w:szCs w:val="24"/>
              </w:rPr>
              <w:t xml:space="preserve">should shareholders wish to communicate with the </w:t>
            </w:r>
            <w:r>
              <w:rPr>
                <w:rFonts w:cstheme="minorHAnsi"/>
                <w:sz w:val="24"/>
                <w:szCs w:val="24"/>
              </w:rPr>
              <w:t>Company</w:t>
            </w:r>
            <w:r w:rsidRPr="002A7645">
              <w:rPr>
                <w:rFonts w:cstheme="minorHAnsi"/>
                <w:sz w:val="24"/>
                <w:szCs w:val="24"/>
              </w:rPr>
              <w:t>.</w:t>
            </w:r>
          </w:p>
          <w:p w14:paraId="702267CF" w14:textId="77777777" w:rsidR="002A7645" w:rsidRPr="002A7645" w:rsidRDefault="002A7645" w:rsidP="002A7645">
            <w:pPr>
              <w:rPr>
                <w:rFonts w:cstheme="minorHAnsi"/>
                <w:sz w:val="24"/>
                <w:szCs w:val="24"/>
              </w:rPr>
            </w:pPr>
          </w:p>
          <w:p w14:paraId="4714DF82" w14:textId="4C4C0006" w:rsidR="002A7645" w:rsidRDefault="005B0AB8" w:rsidP="002A7645">
            <w:pPr>
              <w:rPr>
                <w:rFonts w:cstheme="minorHAnsi"/>
                <w:sz w:val="24"/>
                <w:szCs w:val="24"/>
              </w:rPr>
            </w:pPr>
            <w:r>
              <w:rPr>
                <w:rFonts w:cstheme="minorHAnsi"/>
                <w:sz w:val="24"/>
                <w:szCs w:val="24"/>
              </w:rPr>
              <w:t>N</w:t>
            </w:r>
            <w:r w:rsidR="002A7645" w:rsidRPr="002A7645">
              <w:rPr>
                <w:rFonts w:cstheme="minorHAnsi"/>
                <w:sz w:val="24"/>
                <w:szCs w:val="24"/>
              </w:rPr>
              <w:t xml:space="preserve">otices of all general meetings from the last five years and the resolutions put to a vote at </w:t>
            </w:r>
            <w:r w:rsidR="002A7645">
              <w:rPr>
                <w:rFonts w:cstheme="minorHAnsi"/>
                <w:sz w:val="24"/>
                <w:szCs w:val="24"/>
              </w:rPr>
              <w:t>annual general meetings together with annual management information circulars</w:t>
            </w:r>
            <w:r w:rsidR="002A7645" w:rsidRPr="002A7645">
              <w:rPr>
                <w:rFonts w:cstheme="minorHAnsi"/>
                <w:sz w:val="24"/>
                <w:szCs w:val="24"/>
              </w:rPr>
              <w:t xml:space="preserve"> can be found on the Company’s website </w:t>
            </w:r>
            <w:hyperlink r:id="rId30" w:anchor="shareholder-meeting-documents" w:history="1">
              <w:r w:rsidR="002A7645" w:rsidRPr="002A7645">
                <w:rPr>
                  <w:rStyle w:val="Hyperlink"/>
                  <w:rFonts w:cstheme="minorHAnsi"/>
                  <w:sz w:val="24"/>
                  <w:szCs w:val="24"/>
                </w:rPr>
                <w:t>here</w:t>
              </w:r>
            </w:hyperlink>
            <w:r w:rsidR="002A7645">
              <w:rPr>
                <w:rFonts w:cstheme="minorHAnsi"/>
                <w:sz w:val="24"/>
                <w:szCs w:val="24"/>
              </w:rPr>
              <w:t xml:space="preserve">.  </w:t>
            </w:r>
            <w:r w:rsidR="00765528">
              <w:rPr>
                <w:rFonts w:cstheme="minorHAnsi"/>
                <w:sz w:val="24"/>
                <w:szCs w:val="24"/>
              </w:rPr>
              <w:t>As well as a</w:t>
            </w:r>
            <w:r w:rsidR="00B35552">
              <w:rPr>
                <w:rFonts w:cstheme="minorHAnsi"/>
                <w:sz w:val="24"/>
                <w:szCs w:val="24"/>
              </w:rPr>
              <w:t>n explanation of any resolutions to be tabled at the annual general meeting,</w:t>
            </w:r>
            <w:r w:rsidR="00765528">
              <w:rPr>
                <w:rFonts w:cstheme="minorHAnsi"/>
                <w:sz w:val="24"/>
                <w:szCs w:val="24"/>
              </w:rPr>
              <w:t xml:space="preserve"> annual management information circular</w:t>
            </w:r>
            <w:r w:rsidR="00B35552">
              <w:rPr>
                <w:rFonts w:cstheme="minorHAnsi"/>
                <w:sz w:val="24"/>
                <w:szCs w:val="24"/>
              </w:rPr>
              <w:t>s</w:t>
            </w:r>
            <w:r w:rsidR="00765528">
              <w:rPr>
                <w:rFonts w:cstheme="minorHAnsi"/>
                <w:sz w:val="24"/>
                <w:szCs w:val="24"/>
              </w:rPr>
              <w:t xml:space="preserve"> contain</w:t>
            </w:r>
            <w:r w:rsidR="00B35552">
              <w:rPr>
                <w:rFonts w:cstheme="minorHAnsi"/>
                <w:sz w:val="24"/>
                <w:szCs w:val="24"/>
              </w:rPr>
              <w:t xml:space="preserve"> details on incentive plans, executive and </w:t>
            </w:r>
            <w:r w:rsidR="00B7184C">
              <w:rPr>
                <w:rFonts w:cstheme="minorHAnsi"/>
                <w:sz w:val="24"/>
                <w:szCs w:val="24"/>
              </w:rPr>
              <w:t xml:space="preserve">Director </w:t>
            </w:r>
            <w:r w:rsidR="00B35552">
              <w:rPr>
                <w:rFonts w:cstheme="minorHAnsi"/>
                <w:sz w:val="24"/>
                <w:szCs w:val="24"/>
              </w:rPr>
              <w:t>compensation</w:t>
            </w:r>
            <w:r w:rsidR="005D413A">
              <w:rPr>
                <w:rFonts w:cstheme="minorHAnsi"/>
                <w:sz w:val="24"/>
                <w:szCs w:val="24"/>
              </w:rPr>
              <w:t>,</w:t>
            </w:r>
            <w:r w:rsidR="00765528">
              <w:rPr>
                <w:rFonts w:cstheme="minorHAnsi"/>
                <w:sz w:val="24"/>
                <w:szCs w:val="24"/>
              </w:rPr>
              <w:t xml:space="preserve"> a report on corporate governance practices, </w:t>
            </w:r>
            <w:r w:rsidR="00B07E42">
              <w:rPr>
                <w:rFonts w:cstheme="minorHAnsi"/>
                <w:sz w:val="24"/>
                <w:szCs w:val="24"/>
              </w:rPr>
              <w:t xml:space="preserve">and reports on the Compensation </w:t>
            </w:r>
            <w:r w:rsidR="00B07E42">
              <w:rPr>
                <w:rFonts w:cstheme="minorHAnsi"/>
                <w:sz w:val="24"/>
                <w:szCs w:val="24"/>
              </w:rPr>
              <w:lastRenderedPageBreak/>
              <w:t>and Audit Committees.</w:t>
            </w:r>
            <w:r w:rsidR="00B35552">
              <w:rPr>
                <w:rFonts w:cstheme="minorHAnsi"/>
                <w:sz w:val="24"/>
                <w:szCs w:val="24"/>
              </w:rPr>
              <w:t xml:space="preserve"> </w:t>
            </w:r>
            <w:r>
              <w:rPr>
                <w:rFonts w:cstheme="minorHAnsi"/>
                <w:sz w:val="24"/>
                <w:szCs w:val="24"/>
              </w:rPr>
              <w:t>A</w:t>
            </w:r>
            <w:r w:rsidRPr="002A7645">
              <w:rPr>
                <w:rFonts w:cstheme="minorHAnsi"/>
                <w:sz w:val="24"/>
                <w:szCs w:val="24"/>
              </w:rPr>
              <w:t>nnual reports</w:t>
            </w:r>
            <w:r>
              <w:rPr>
                <w:rFonts w:cstheme="minorHAnsi"/>
                <w:sz w:val="24"/>
                <w:szCs w:val="24"/>
              </w:rPr>
              <w:t xml:space="preserve"> </w:t>
            </w:r>
            <w:r w:rsidR="008F7538">
              <w:rPr>
                <w:rFonts w:cstheme="minorHAnsi"/>
                <w:sz w:val="24"/>
                <w:szCs w:val="24"/>
              </w:rPr>
              <w:t>on</w:t>
            </w:r>
            <w:r>
              <w:rPr>
                <w:rFonts w:cstheme="minorHAnsi"/>
                <w:sz w:val="24"/>
                <w:szCs w:val="24"/>
              </w:rPr>
              <w:t xml:space="preserve"> Form 20-F</w:t>
            </w:r>
            <w:r w:rsidRPr="002A7645">
              <w:rPr>
                <w:rFonts w:cstheme="minorHAnsi"/>
                <w:sz w:val="24"/>
                <w:szCs w:val="24"/>
              </w:rPr>
              <w:t xml:space="preserve"> </w:t>
            </w:r>
            <w:r w:rsidR="00130098">
              <w:rPr>
                <w:rFonts w:cstheme="minorHAnsi"/>
                <w:sz w:val="24"/>
                <w:szCs w:val="24"/>
              </w:rPr>
              <w:t xml:space="preserve">and the ESG </w:t>
            </w:r>
            <w:r w:rsidR="00E31BB5">
              <w:rPr>
                <w:rFonts w:cstheme="minorHAnsi"/>
                <w:sz w:val="24"/>
                <w:szCs w:val="24"/>
              </w:rPr>
              <w:t xml:space="preserve">reports </w:t>
            </w:r>
            <w:r>
              <w:rPr>
                <w:rFonts w:cstheme="minorHAnsi"/>
                <w:sz w:val="24"/>
                <w:szCs w:val="24"/>
              </w:rPr>
              <w:t xml:space="preserve">further </w:t>
            </w:r>
            <w:r w:rsidR="006F7245">
              <w:rPr>
                <w:rFonts w:cstheme="minorHAnsi"/>
                <w:sz w:val="24"/>
                <w:szCs w:val="24"/>
              </w:rPr>
              <w:t>inform stakeholders about</w:t>
            </w:r>
            <w:r>
              <w:rPr>
                <w:rFonts w:cstheme="minorHAnsi"/>
                <w:sz w:val="24"/>
                <w:szCs w:val="24"/>
              </w:rPr>
              <w:t xml:space="preserve"> </w:t>
            </w:r>
            <w:r w:rsidR="00B45C66">
              <w:rPr>
                <w:rFonts w:cstheme="minorHAnsi"/>
                <w:sz w:val="24"/>
                <w:szCs w:val="24"/>
              </w:rPr>
              <w:t>how the business is governed</w:t>
            </w:r>
            <w:r w:rsidR="00DE7379">
              <w:rPr>
                <w:rFonts w:cstheme="minorHAnsi"/>
                <w:sz w:val="24"/>
                <w:szCs w:val="24"/>
              </w:rPr>
              <w:t>,</w:t>
            </w:r>
            <w:r w:rsidR="00B45C66">
              <w:rPr>
                <w:rFonts w:cstheme="minorHAnsi"/>
                <w:sz w:val="24"/>
                <w:szCs w:val="24"/>
              </w:rPr>
              <w:t xml:space="preserve"> and </w:t>
            </w:r>
            <w:r w:rsidR="00DE7379">
              <w:rPr>
                <w:rFonts w:cstheme="minorHAnsi"/>
                <w:sz w:val="24"/>
                <w:szCs w:val="24"/>
              </w:rPr>
              <w:t xml:space="preserve">these </w:t>
            </w:r>
            <w:r w:rsidR="00B45C66">
              <w:rPr>
                <w:rFonts w:cstheme="minorHAnsi"/>
                <w:sz w:val="24"/>
                <w:szCs w:val="24"/>
              </w:rPr>
              <w:t>are</w:t>
            </w:r>
            <w:r w:rsidR="00DE7379">
              <w:rPr>
                <w:rFonts w:cstheme="minorHAnsi"/>
                <w:sz w:val="24"/>
                <w:szCs w:val="24"/>
              </w:rPr>
              <w:t xml:space="preserve"> all</w:t>
            </w:r>
            <w:r w:rsidR="00B45C66">
              <w:rPr>
                <w:rFonts w:cstheme="minorHAnsi"/>
                <w:sz w:val="24"/>
                <w:szCs w:val="24"/>
              </w:rPr>
              <w:t xml:space="preserve"> available on the Company’s website.</w:t>
            </w:r>
          </w:p>
          <w:p w14:paraId="5D74DEB2" w14:textId="77777777" w:rsidR="002A7645" w:rsidRDefault="002A7645" w:rsidP="002A7645">
            <w:pPr>
              <w:rPr>
                <w:rFonts w:cstheme="minorHAnsi"/>
                <w:sz w:val="24"/>
                <w:szCs w:val="24"/>
              </w:rPr>
            </w:pPr>
          </w:p>
          <w:p w14:paraId="654B1D46" w14:textId="2CB048D3" w:rsidR="002A7645" w:rsidRPr="00E57C84" w:rsidRDefault="002A7645" w:rsidP="002A7645">
            <w:pPr>
              <w:rPr>
                <w:rFonts w:cstheme="minorHAnsi"/>
                <w:sz w:val="24"/>
                <w:szCs w:val="24"/>
              </w:rPr>
            </w:pPr>
            <w:r w:rsidRPr="002A7645">
              <w:rPr>
                <w:rFonts w:cstheme="minorHAnsi"/>
                <w:sz w:val="24"/>
                <w:szCs w:val="24"/>
              </w:rPr>
              <w:t xml:space="preserve">Over the last five years all resolutions put to a vote at </w:t>
            </w:r>
            <w:r>
              <w:rPr>
                <w:rFonts w:cstheme="minorHAnsi"/>
                <w:sz w:val="24"/>
                <w:szCs w:val="24"/>
              </w:rPr>
              <w:t xml:space="preserve">annual general meetings </w:t>
            </w:r>
            <w:r w:rsidRPr="002A7645">
              <w:rPr>
                <w:rFonts w:cstheme="minorHAnsi"/>
                <w:sz w:val="24"/>
                <w:szCs w:val="24"/>
              </w:rPr>
              <w:t xml:space="preserve">have been duly passed. Where a significant proportion of votes are cast against a resolution at any general meeting the Board seeks to understand the rationale for this through its engagement with shareholders. </w:t>
            </w:r>
            <w:r w:rsidR="00410297">
              <w:rPr>
                <w:rFonts w:cstheme="minorHAnsi"/>
                <w:sz w:val="24"/>
                <w:szCs w:val="24"/>
              </w:rPr>
              <w:t xml:space="preserve">The Company announces voting results of shareholder meetings </w:t>
            </w:r>
            <w:r w:rsidR="00C35ED8">
              <w:rPr>
                <w:rFonts w:cstheme="minorHAnsi"/>
                <w:sz w:val="24"/>
                <w:szCs w:val="24"/>
              </w:rPr>
              <w:t xml:space="preserve">as soon as practicable following the end of the meetings.  For examples of voting results disclosures, </w:t>
            </w:r>
            <w:r w:rsidR="00B423FA">
              <w:rPr>
                <w:rFonts w:cstheme="minorHAnsi"/>
                <w:sz w:val="24"/>
                <w:szCs w:val="24"/>
              </w:rPr>
              <w:t xml:space="preserve">which are shown in a clear and transparent manner, </w:t>
            </w:r>
            <w:r w:rsidR="00C35ED8">
              <w:rPr>
                <w:rFonts w:cstheme="minorHAnsi"/>
                <w:sz w:val="24"/>
                <w:szCs w:val="24"/>
              </w:rPr>
              <w:t xml:space="preserve">refer to </w:t>
            </w:r>
            <w:r w:rsidR="007011CB">
              <w:rPr>
                <w:rFonts w:cstheme="minorHAnsi"/>
                <w:sz w:val="24"/>
                <w:szCs w:val="24"/>
              </w:rPr>
              <w:t xml:space="preserve">the Company’s </w:t>
            </w:r>
            <w:r w:rsidR="00D05B91">
              <w:rPr>
                <w:rFonts w:cstheme="minorHAnsi"/>
                <w:sz w:val="24"/>
                <w:szCs w:val="24"/>
              </w:rPr>
              <w:t>regulatory announcements</w:t>
            </w:r>
            <w:r w:rsidR="007011CB">
              <w:rPr>
                <w:rFonts w:cstheme="minorHAnsi"/>
                <w:sz w:val="24"/>
                <w:szCs w:val="24"/>
              </w:rPr>
              <w:t xml:space="preserve"> </w:t>
            </w:r>
            <w:r w:rsidR="00B423FA">
              <w:rPr>
                <w:rFonts w:cstheme="minorHAnsi"/>
                <w:sz w:val="24"/>
                <w:szCs w:val="24"/>
              </w:rPr>
              <w:t xml:space="preserve">in May each year </w:t>
            </w:r>
            <w:r w:rsidR="007011CB">
              <w:rPr>
                <w:rFonts w:cstheme="minorHAnsi"/>
                <w:sz w:val="24"/>
                <w:szCs w:val="24"/>
              </w:rPr>
              <w:t xml:space="preserve">which are </w:t>
            </w:r>
            <w:r w:rsidR="00D05B91">
              <w:rPr>
                <w:rFonts w:cstheme="minorHAnsi"/>
                <w:sz w:val="24"/>
                <w:szCs w:val="24"/>
              </w:rPr>
              <w:t>re</w:t>
            </w:r>
            <w:r w:rsidR="007011CB">
              <w:rPr>
                <w:rFonts w:cstheme="minorHAnsi"/>
                <w:sz w:val="24"/>
                <w:szCs w:val="24"/>
              </w:rPr>
              <w:t xml:space="preserve">produced </w:t>
            </w:r>
            <w:hyperlink r:id="rId31" w:history="1">
              <w:r w:rsidR="007011CB" w:rsidRPr="00D05B91">
                <w:rPr>
                  <w:rStyle w:val="Hyperlink"/>
                  <w:rFonts w:cstheme="minorHAnsi"/>
                  <w:sz w:val="24"/>
                  <w:szCs w:val="24"/>
                </w:rPr>
                <w:t>here</w:t>
              </w:r>
            </w:hyperlink>
            <w:r w:rsidR="007011CB">
              <w:rPr>
                <w:rFonts w:cstheme="minorHAnsi"/>
                <w:sz w:val="24"/>
                <w:szCs w:val="24"/>
              </w:rPr>
              <w:t>.</w:t>
            </w:r>
          </w:p>
        </w:tc>
      </w:tr>
    </w:tbl>
    <w:p w14:paraId="15F0172B" w14:textId="77777777" w:rsidR="003215CD" w:rsidRDefault="003215CD" w:rsidP="008818B1">
      <w:pPr>
        <w:rPr>
          <w:rFonts w:cstheme="minorHAnsi"/>
          <w:sz w:val="24"/>
          <w:szCs w:val="24"/>
        </w:rPr>
      </w:pPr>
    </w:p>
    <w:p w14:paraId="78F402C2" w14:textId="6A63B2E0" w:rsidR="008818B1" w:rsidRDefault="00C05AEE" w:rsidP="008818B1">
      <w:pPr>
        <w:rPr>
          <w:rFonts w:cstheme="minorHAnsi"/>
          <w:sz w:val="24"/>
          <w:szCs w:val="24"/>
        </w:rPr>
      </w:pPr>
      <w:r>
        <w:rPr>
          <w:rFonts w:cstheme="minorHAnsi"/>
          <w:sz w:val="24"/>
          <w:szCs w:val="24"/>
        </w:rPr>
        <w:t>March 2026</w:t>
      </w:r>
    </w:p>
    <w:p w14:paraId="5C7AC70D" w14:textId="6D331FE0" w:rsidR="001A69BA" w:rsidRDefault="001A69BA">
      <w:pPr>
        <w:rPr>
          <w:rFonts w:cstheme="minorHAnsi"/>
          <w:sz w:val="24"/>
          <w:szCs w:val="24"/>
        </w:rPr>
      </w:pPr>
      <w:r>
        <w:rPr>
          <w:rFonts w:cstheme="minorHAnsi"/>
          <w:sz w:val="24"/>
          <w:szCs w:val="24"/>
        </w:rPr>
        <w:br w:type="page"/>
      </w:r>
    </w:p>
    <w:p w14:paraId="7D3D008F" w14:textId="174F5DCC" w:rsidR="001A69BA" w:rsidRDefault="001A69BA" w:rsidP="001A69BA">
      <w:pPr>
        <w:pStyle w:val="Heading1"/>
        <w:jc w:val="center"/>
      </w:pPr>
      <w:r>
        <w:lastRenderedPageBreak/>
        <w:t>Appendix</w:t>
      </w:r>
    </w:p>
    <w:p w14:paraId="3347FE33" w14:textId="412D2DA6" w:rsidR="001A69BA" w:rsidRDefault="001A69BA" w:rsidP="001A69BA">
      <w:pPr>
        <w:pStyle w:val="Heading1"/>
      </w:pPr>
      <w:r>
        <w:t>Caledonia Mining Corporation Plc and its group of companies</w:t>
      </w:r>
    </w:p>
    <w:p w14:paraId="6BEFBE5F" w14:textId="77777777" w:rsidR="001A69BA" w:rsidRDefault="001A69BA" w:rsidP="001A69BA">
      <w:pPr>
        <w:pStyle w:val="Heading1"/>
      </w:pPr>
      <w:r>
        <w:t>Risk Appetite Statement</w:t>
      </w:r>
    </w:p>
    <w:p w14:paraId="6767262A" w14:textId="77777777" w:rsidR="001A69BA" w:rsidRDefault="001A69BA" w:rsidP="001A69BA">
      <w:pPr>
        <w:pStyle w:val="Heading1"/>
        <w:numPr>
          <w:ilvl w:val="0"/>
          <w:numId w:val="4"/>
        </w:numPr>
      </w:pPr>
      <w:r>
        <w:t>Introduction and Purpose</w:t>
      </w:r>
    </w:p>
    <w:p w14:paraId="7B300992" w14:textId="77777777" w:rsidR="001A69BA" w:rsidRDefault="001A69BA" w:rsidP="001A69BA">
      <w:r>
        <w:t>This Risk Appetite Statement sets out the level and nature of risk that Caledonia Mining Corporation Plc and its group of companies ('Caledonia') is prepared to accept in pursuit of its strategic and operational objectives. It forms an integral part of our corporate governance framework, supports our disclosure obligations, and provides guidance for decision making across the group.</w:t>
      </w:r>
      <w:r>
        <w:br/>
      </w:r>
      <w:r>
        <w:br/>
        <w:t>The statement is provided as required by the Quoted Companies Alliance (QCA) Corporate Governance Code, which Caledonia has adopted, and will be reviewed annually the Board, the Audit Committee and the Audit Committee’s Risk Management Sub-Committee. It applies to all operations, projects, and subsidiaries, with particular emphasis on activities in Zimbabwe.</w:t>
      </w:r>
    </w:p>
    <w:p w14:paraId="7CEC30F4" w14:textId="77777777" w:rsidR="001A69BA" w:rsidRDefault="001A69BA" w:rsidP="001A69BA">
      <w:pPr>
        <w:pStyle w:val="Heading1"/>
        <w:numPr>
          <w:ilvl w:val="0"/>
          <w:numId w:val="4"/>
        </w:numPr>
      </w:pPr>
      <w:r>
        <w:t>Strategic Context</w:t>
      </w:r>
    </w:p>
    <w:p w14:paraId="0C1EF7DB" w14:textId="77777777" w:rsidR="001A69BA" w:rsidRDefault="001A69BA" w:rsidP="001A69BA">
      <w:r>
        <w:t>Caledonia is committed to creating long-term, sustainable value through responsible gold mining. Our strategy is underpinned by the following:</w:t>
      </w:r>
    </w:p>
    <w:p w14:paraId="1B173FBD" w14:textId="77777777" w:rsidR="001A69BA" w:rsidRDefault="001A69BA" w:rsidP="001A69BA">
      <w:pPr>
        <w:pStyle w:val="ListParagraph"/>
        <w:numPr>
          <w:ilvl w:val="0"/>
          <w:numId w:val="6"/>
        </w:numPr>
        <w:spacing w:after="200" w:line="276" w:lineRule="auto"/>
      </w:pPr>
      <w:r>
        <w:t>Operational excellence at Blanket Mine.</w:t>
      </w:r>
    </w:p>
    <w:p w14:paraId="65F4EB75" w14:textId="77777777" w:rsidR="001A69BA" w:rsidRDefault="001A69BA" w:rsidP="001A69BA">
      <w:pPr>
        <w:pStyle w:val="ListParagraph"/>
        <w:numPr>
          <w:ilvl w:val="0"/>
          <w:numId w:val="6"/>
        </w:numPr>
        <w:spacing w:after="200" w:line="276" w:lineRule="auto"/>
      </w:pPr>
      <w:r>
        <w:t xml:space="preserve">Growth and diversification through the development of the Bilboes, </w:t>
      </w:r>
      <w:proofErr w:type="spellStart"/>
      <w:r>
        <w:t>Motapa</w:t>
      </w:r>
      <w:proofErr w:type="spellEnd"/>
      <w:r>
        <w:t xml:space="preserve"> and </w:t>
      </w:r>
      <w:proofErr w:type="spellStart"/>
      <w:r>
        <w:t>Maligreen</w:t>
      </w:r>
      <w:proofErr w:type="spellEnd"/>
      <w:r>
        <w:t xml:space="preserve"> projects.</w:t>
      </w:r>
    </w:p>
    <w:p w14:paraId="7FF9D160" w14:textId="77777777" w:rsidR="001A69BA" w:rsidRDefault="001A69BA" w:rsidP="001A69BA">
      <w:pPr>
        <w:pStyle w:val="ListParagraph"/>
        <w:numPr>
          <w:ilvl w:val="0"/>
          <w:numId w:val="6"/>
        </w:numPr>
        <w:spacing w:after="200" w:line="276" w:lineRule="auto"/>
      </w:pPr>
      <w:r>
        <w:t>Disciplined financial management and rigorous capital allocation to sustain dividends and fund future growth.</w:t>
      </w:r>
    </w:p>
    <w:p w14:paraId="2DE242F7" w14:textId="77777777" w:rsidR="001A69BA" w:rsidRDefault="001A69BA" w:rsidP="001A69BA">
      <w:pPr>
        <w:pStyle w:val="ListParagraph"/>
        <w:numPr>
          <w:ilvl w:val="0"/>
          <w:numId w:val="6"/>
        </w:numPr>
        <w:spacing w:after="200" w:line="276" w:lineRule="auto"/>
      </w:pPr>
      <w:r>
        <w:t>Responsible ESG practices aligned with applicable international standards, host country requirements, and stakeholder expectations.</w:t>
      </w:r>
    </w:p>
    <w:p w14:paraId="5C2FD791" w14:textId="77777777" w:rsidR="001A69BA" w:rsidRDefault="001A69BA" w:rsidP="001A69BA">
      <w:r>
        <w:t>In executing this strategy, Caledonia recognises that risk is inherent to mining operations, especially in emerging markets, and seeks to balance value creation with disciplined, ethical, and sustainable risk management.</w:t>
      </w:r>
    </w:p>
    <w:p w14:paraId="326DCDB6" w14:textId="77777777" w:rsidR="001A69BA" w:rsidRPr="00E6646B" w:rsidRDefault="001A69BA" w:rsidP="001A69BA">
      <w:pPr>
        <w:pStyle w:val="Heading1"/>
        <w:numPr>
          <w:ilvl w:val="0"/>
          <w:numId w:val="4"/>
        </w:numPr>
      </w:pPr>
      <w:r w:rsidRPr="00E6646B">
        <w:lastRenderedPageBreak/>
        <w:t>Governance and Oversight</w:t>
      </w:r>
    </w:p>
    <w:p w14:paraId="39799882" w14:textId="77777777" w:rsidR="001A69BA" w:rsidRDefault="001A69BA" w:rsidP="001A69BA">
      <w:pPr>
        <w:pStyle w:val="ListParagraph"/>
        <w:numPr>
          <w:ilvl w:val="0"/>
          <w:numId w:val="7"/>
        </w:numPr>
        <w:spacing w:after="200" w:line="276" w:lineRule="auto"/>
      </w:pPr>
      <w:r>
        <w:t>The Board of Directors, which applies the principles of the QCA Corporate Governance Code, has ultimate accountability for approving and reviewing the Risk Appetite Statement.</w:t>
      </w:r>
    </w:p>
    <w:p w14:paraId="08DC8175" w14:textId="77777777" w:rsidR="001A69BA" w:rsidRDefault="001A69BA" w:rsidP="001A69BA">
      <w:pPr>
        <w:pStyle w:val="ListParagraph"/>
        <w:numPr>
          <w:ilvl w:val="0"/>
          <w:numId w:val="7"/>
        </w:numPr>
        <w:spacing w:after="200" w:line="276" w:lineRule="auto"/>
      </w:pPr>
      <w:r>
        <w:t>The Audit Committee, with the assistance of its Risk Management Sub-Committee, oversees adherence to the risk appetite, reviews material exposures, and advises the Board on emerging and principal risks.</w:t>
      </w:r>
    </w:p>
    <w:p w14:paraId="0E5F0AE6" w14:textId="77777777" w:rsidR="001A69BA" w:rsidRDefault="001A69BA" w:rsidP="001A69BA">
      <w:pPr>
        <w:pStyle w:val="ListParagraph"/>
        <w:numPr>
          <w:ilvl w:val="0"/>
          <w:numId w:val="7"/>
        </w:numPr>
        <w:spacing w:after="200" w:line="276" w:lineRule="auto"/>
      </w:pPr>
      <w:r>
        <w:t>Senior management is responsible for embedding the approved risk appetite into strategy, planning, operations, capital allocation and reporting.</w:t>
      </w:r>
    </w:p>
    <w:p w14:paraId="6F31BF2B" w14:textId="77777777" w:rsidR="001A69BA" w:rsidRDefault="001A69BA" w:rsidP="001A69BA">
      <w:r>
        <w:t>This statement is supported by a suite of governance charters and policies, including the Code of Business Conduct, Ethics and Anti-Bribery Policy, Whistleblowing Policy, ESG policies such as the Human Rights Policy, and published alongside Caledonia’s corporate governance disclosures including its Corporate Governance Statement provided in accordance with the</w:t>
      </w:r>
      <w:r w:rsidRPr="008F4A4F">
        <w:t xml:space="preserve"> QCA Corporate Governance Code</w:t>
      </w:r>
      <w:r>
        <w:t>.</w:t>
      </w:r>
      <w:r>
        <w:br/>
      </w:r>
      <w:r>
        <w:br/>
        <w:t>Risk appetite is operationalised through our enterprise risk management framework, which follows ISO 31000 principles and integrates critical control management for significant unwanted events (SUEs).</w:t>
      </w:r>
    </w:p>
    <w:p w14:paraId="627FB580" w14:textId="77777777" w:rsidR="001A69BA" w:rsidRDefault="001A69BA" w:rsidP="001A69BA">
      <w:pPr>
        <w:pStyle w:val="Heading1"/>
        <w:numPr>
          <w:ilvl w:val="0"/>
          <w:numId w:val="4"/>
        </w:numPr>
      </w:pPr>
      <w:r w:rsidRPr="00E6646B">
        <w:t>Risk Appetite by Category</w:t>
      </w:r>
    </w:p>
    <w:p w14:paraId="5862EA75" w14:textId="77777777" w:rsidR="001A69BA" w:rsidRPr="003B51AB" w:rsidRDefault="001A69BA" w:rsidP="001A69BA"/>
    <w:tbl>
      <w:tblPr>
        <w:tblStyle w:val="TableGrid"/>
        <w:tblW w:w="0" w:type="auto"/>
        <w:tblLook w:val="04A0" w:firstRow="1" w:lastRow="0" w:firstColumn="1" w:lastColumn="0" w:noHBand="0" w:noVBand="1"/>
      </w:tblPr>
      <w:tblGrid>
        <w:gridCol w:w="2588"/>
        <w:gridCol w:w="11360"/>
      </w:tblGrid>
      <w:tr w:rsidR="001A69BA" w:rsidRPr="003B51AB" w14:paraId="75DE9BEB" w14:textId="77777777" w:rsidTr="004722A4">
        <w:tc>
          <w:tcPr>
            <w:tcW w:w="0" w:type="auto"/>
            <w:vAlign w:val="center"/>
            <w:hideMark/>
          </w:tcPr>
          <w:p w14:paraId="65C9671D" w14:textId="77777777" w:rsidR="001A69BA" w:rsidRPr="003B51AB" w:rsidRDefault="001A69BA" w:rsidP="004722A4">
            <w:pPr>
              <w:spacing w:after="200" w:line="276" w:lineRule="auto"/>
              <w:jc w:val="center"/>
              <w:rPr>
                <w:b/>
                <w:bCs/>
              </w:rPr>
            </w:pPr>
            <w:r w:rsidRPr="003B51AB">
              <w:rPr>
                <w:b/>
                <w:bCs/>
              </w:rPr>
              <w:t>Risk Level</w:t>
            </w:r>
          </w:p>
        </w:tc>
        <w:tc>
          <w:tcPr>
            <w:tcW w:w="0" w:type="auto"/>
            <w:vAlign w:val="center"/>
            <w:hideMark/>
          </w:tcPr>
          <w:p w14:paraId="7A85B0DA" w14:textId="77777777" w:rsidR="001A69BA" w:rsidRPr="003B51AB" w:rsidRDefault="001A69BA" w:rsidP="004722A4">
            <w:pPr>
              <w:spacing w:after="200" w:line="276" w:lineRule="auto"/>
              <w:jc w:val="center"/>
              <w:rPr>
                <w:b/>
                <w:bCs/>
              </w:rPr>
            </w:pPr>
            <w:r w:rsidRPr="003B51AB">
              <w:rPr>
                <w:b/>
                <w:bCs/>
              </w:rPr>
              <w:t>Definition</w:t>
            </w:r>
          </w:p>
        </w:tc>
      </w:tr>
      <w:tr w:rsidR="001A69BA" w:rsidRPr="003B51AB" w14:paraId="5DA5D9BD" w14:textId="77777777" w:rsidTr="004722A4">
        <w:tc>
          <w:tcPr>
            <w:tcW w:w="0" w:type="auto"/>
            <w:hideMark/>
          </w:tcPr>
          <w:p w14:paraId="781088F8" w14:textId="77777777" w:rsidR="001A69BA" w:rsidRPr="003B51AB" w:rsidRDefault="001A69BA" w:rsidP="004722A4">
            <w:pPr>
              <w:spacing w:after="200" w:line="276" w:lineRule="auto"/>
            </w:pPr>
            <w:r w:rsidRPr="003B51AB">
              <w:rPr>
                <w:b/>
                <w:bCs/>
              </w:rPr>
              <w:t>No Tolerance / Zero Tolerance</w:t>
            </w:r>
          </w:p>
        </w:tc>
        <w:tc>
          <w:tcPr>
            <w:tcW w:w="0" w:type="auto"/>
            <w:hideMark/>
          </w:tcPr>
          <w:p w14:paraId="2D638303" w14:textId="77777777" w:rsidR="001A69BA" w:rsidRPr="003B51AB" w:rsidRDefault="001A69BA" w:rsidP="004722A4">
            <w:pPr>
              <w:spacing w:after="200" w:line="276" w:lineRule="auto"/>
            </w:pPr>
            <w:r w:rsidRPr="003B51AB">
              <w:t>No level of risk is acceptable where it could cause injury, environmental damage, legal breach, or ethical failure. Such risks must be eliminated or strictly controlled.</w:t>
            </w:r>
          </w:p>
        </w:tc>
      </w:tr>
      <w:tr w:rsidR="001A69BA" w:rsidRPr="003B51AB" w14:paraId="091C03AD" w14:textId="77777777" w:rsidTr="004722A4">
        <w:tc>
          <w:tcPr>
            <w:tcW w:w="0" w:type="auto"/>
            <w:hideMark/>
          </w:tcPr>
          <w:p w14:paraId="3E9F04B9" w14:textId="77777777" w:rsidR="001A69BA" w:rsidRPr="003B51AB" w:rsidRDefault="001A69BA" w:rsidP="004722A4">
            <w:pPr>
              <w:spacing w:after="200" w:line="276" w:lineRule="auto"/>
            </w:pPr>
            <w:r w:rsidRPr="003B51AB">
              <w:rPr>
                <w:b/>
                <w:bCs/>
              </w:rPr>
              <w:t>Low</w:t>
            </w:r>
          </w:p>
        </w:tc>
        <w:tc>
          <w:tcPr>
            <w:tcW w:w="0" w:type="auto"/>
            <w:hideMark/>
          </w:tcPr>
          <w:p w14:paraId="7584F79C" w14:textId="77777777" w:rsidR="001A69BA" w:rsidRPr="003B51AB" w:rsidRDefault="001A69BA" w:rsidP="004722A4">
            <w:pPr>
              <w:spacing w:after="200" w:line="276" w:lineRule="auto"/>
            </w:pPr>
            <w:r w:rsidRPr="003B51AB">
              <w:t>Only minimal, well-controlled risks are acceptable. Focus is on prevention, safety, and compliance rather than opportunity or speed.</w:t>
            </w:r>
          </w:p>
        </w:tc>
      </w:tr>
      <w:tr w:rsidR="001A69BA" w:rsidRPr="003B51AB" w14:paraId="49D7957B" w14:textId="77777777" w:rsidTr="004722A4">
        <w:tc>
          <w:tcPr>
            <w:tcW w:w="0" w:type="auto"/>
            <w:hideMark/>
          </w:tcPr>
          <w:p w14:paraId="12C5BBD2" w14:textId="77777777" w:rsidR="001A69BA" w:rsidRPr="003B51AB" w:rsidRDefault="001A69BA" w:rsidP="004722A4">
            <w:pPr>
              <w:spacing w:after="200" w:line="276" w:lineRule="auto"/>
            </w:pPr>
            <w:r w:rsidRPr="003B51AB">
              <w:rPr>
                <w:b/>
                <w:bCs/>
              </w:rPr>
              <w:t>Moderate</w:t>
            </w:r>
          </w:p>
        </w:tc>
        <w:tc>
          <w:tcPr>
            <w:tcW w:w="0" w:type="auto"/>
            <w:hideMark/>
          </w:tcPr>
          <w:p w14:paraId="46C33511" w14:textId="77777777" w:rsidR="001A69BA" w:rsidRPr="003B51AB" w:rsidRDefault="001A69BA" w:rsidP="004722A4">
            <w:pPr>
              <w:spacing w:after="200" w:line="276" w:lineRule="auto"/>
            </w:pPr>
            <w:r w:rsidRPr="003B51AB">
              <w:t>Some risk is accepted to achieve growth, efficiency, or improvement, provided strong controls and oversight are in place.</w:t>
            </w:r>
          </w:p>
        </w:tc>
      </w:tr>
      <w:tr w:rsidR="001A69BA" w:rsidRPr="003B51AB" w14:paraId="16694F4F" w14:textId="77777777" w:rsidTr="004722A4">
        <w:tc>
          <w:tcPr>
            <w:tcW w:w="0" w:type="auto"/>
            <w:hideMark/>
          </w:tcPr>
          <w:p w14:paraId="6E8E7462" w14:textId="77777777" w:rsidR="001A69BA" w:rsidRPr="003B51AB" w:rsidRDefault="001A69BA" w:rsidP="004722A4">
            <w:pPr>
              <w:spacing w:after="200" w:line="276" w:lineRule="auto"/>
            </w:pPr>
            <w:r w:rsidRPr="003B51AB">
              <w:rPr>
                <w:b/>
                <w:bCs/>
              </w:rPr>
              <w:t>High</w:t>
            </w:r>
          </w:p>
        </w:tc>
        <w:tc>
          <w:tcPr>
            <w:tcW w:w="0" w:type="auto"/>
            <w:hideMark/>
          </w:tcPr>
          <w:p w14:paraId="6A13D899" w14:textId="77777777" w:rsidR="001A69BA" w:rsidRPr="003B51AB" w:rsidRDefault="001A69BA" w:rsidP="004722A4">
            <w:pPr>
              <w:spacing w:after="200" w:line="276" w:lineRule="auto"/>
            </w:pPr>
            <w:r w:rsidRPr="003B51AB">
              <w:t>Significant risk may be accepted for major strategic opportunities, but only with full understanding, strong mitigation, and board approval.</w:t>
            </w:r>
          </w:p>
        </w:tc>
      </w:tr>
      <w:tr w:rsidR="001A69BA" w:rsidRPr="003B51AB" w14:paraId="10FE43B3" w14:textId="77777777" w:rsidTr="004722A4">
        <w:tc>
          <w:tcPr>
            <w:tcW w:w="0" w:type="auto"/>
            <w:hideMark/>
          </w:tcPr>
          <w:p w14:paraId="6114487D" w14:textId="77777777" w:rsidR="001A69BA" w:rsidRPr="003B51AB" w:rsidRDefault="001A69BA" w:rsidP="004722A4">
            <w:pPr>
              <w:spacing w:after="200" w:line="276" w:lineRule="auto"/>
            </w:pPr>
            <w:r w:rsidRPr="003B51AB">
              <w:rPr>
                <w:b/>
                <w:bCs/>
              </w:rPr>
              <w:lastRenderedPageBreak/>
              <w:t>Unacceptable</w:t>
            </w:r>
          </w:p>
        </w:tc>
        <w:tc>
          <w:tcPr>
            <w:tcW w:w="0" w:type="auto"/>
            <w:hideMark/>
          </w:tcPr>
          <w:p w14:paraId="622DC57D" w14:textId="77777777" w:rsidR="001A69BA" w:rsidRPr="003B51AB" w:rsidRDefault="001A69BA" w:rsidP="004722A4">
            <w:pPr>
              <w:spacing w:after="200" w:line="276" w:lineRule="auto"/>
            </w:pPr>
            <w:r w:rsidRPr="003B51AB">
              <w:t>Risks that could threaten business survival, people, or the environment are not accepted under any circumstances.</w:t>
            </w:r>
          </w:p>
        </w:tc>
      </w:tr>
    </w:tbl>
    <w:p w14:paraId="0577E41A" w14:textId="77777777" w:rsidR="001A69BA" w:rsidRPr="003B51AB" w:rsidRDefault="001A69BA" w:rsidP="001A69BA"/>
    <w:p w14:paraId="63766427" w14:textId="77777777" w:rsidR="001A69BA" w:rsidRPr="00E6646B" w:rsidRDefault="001A69BA" w:rsidP="001A69BA">
      <w:pPr>
        <w:pStyle w:val="ListParagraph"/>
        <w:keepNext/>
        <w:keepLines/>
        <w:numPr>
          <w:ilvl w:val="0"/>
          <w:numId w:val="5"/>
        </w:numPr>
        <w:spacing w:before="200" w:after="0" w:line="276" w:lineRule="auto"/>
        <w:contextualSpacing w:val="0"/>
        <w:outlineLvl w:val="1"/>
        <w:rPr>
          <w:rFonts w:eastAsiaTheme="majorEastAsia" w:cstheme="majorBidi"/>
          <w:b/>
          <w:bCs/>
          <w:vanish/>
          <w:sz w:val="26"/>
          <w:szCs w:val="26"/>
        </w:rPr>
      </w:pPr>
    </w:p>
    <w:p w14:paraId="4FED1A89" w14:textId="77777777" w:rsidR="001A69BA" w:rsidRPr="00E6646B" w:rsidRDefault="001A69BA" w:rsidP="001A69BA">
      <w:pPr>
        <w:pStyle w:val="ListParagraph"/>
        <w:keepNext/>
        <w:keepLines/>
        <w:numPr>
          <w:ilvl w:val="0"/>
          <w:numId w:val="5"/>
        </w:numPr>
        <w:spacing w:before="200" w:after="0" w:line="276" w:lineRule="auto"/>
        <w:contextualSpacing w:val="0"/>
        <w:outlineLvl w:val="1"/>
        <w:rPr>
          <w:rFonts w:eastAsiaTheme="majorEastAsia" w:cstheme="majorBidi"/>
          <w:b/>
          <w:bCs/>
          <w:vanish/>
          <w:sz w:val="26"/>
          <w:szCs w:val="26"/>
        </w:rPr>
      </w:pPr>
    </w:p>
    <w:p w14:paraId="561FE8F6" w14:textId="77777777" w:rsidR="001A69BA" w:rsidRPr="00E6646B" w:rsidRDefault="001A69BA" w:rsidP="001A69BA">
      <w:pPr>
        <w:pStyle w:val="ListParagraph"/>
        <w:keepNext/>
        <w:keepLines/>
        <w:numPr>
          <w:ilvl w:val="0"/>
          <w:numId w:val="5"/>
        </w:numPr>
        <w:spacing w:before="200" w:after="0" w:line="276" w:lineRule="auto"/>
        <w:contextualSpacing w:val="0"/>
        <w:outlineLvl w:val="1"/>
        <w:rPr>
          <w:rFonts w:eastAsiaTheme="majorEastAsia" w:cstheme="majorBidi"/>
          <w:b/>
          <w:bCs/>
          <w:vanish/>
          <w:sz w:val="26"/>
          <w:szCs w:val="26"/>
        </w:rPr>
      </w:pPr>
    </w:p>
    <w:p w14:paraId="2139147D" w14:textId="77777777" w:rsidR="001A69BA" w:rsidRPr="00E6646B" w:rsidRDefault="001A69BA" w:rsidP="001A69BA">
      <w:pPr>
        <w:pStyle w:val="ListParagraph"/>
        <w:keepNext/>
        <w:keepLines/>
        <w:numPr>
          <w:ilvl w:val="0"/>
          <w:numId w:val="5"/>
        </w:numPr>
        <w:spacing w:before="200" w:after="0" w:line="276" w:lineRule="auto"/>
        <w:contextualSpacing w:val="0"/>
        <w:outlineLvl w:val="1"/>
        <w:rPr>
          <w:rFonts w:eastAsiaTheme="majorEastAsia" w:cstheme="majorBidi"/>
          <w:b/>
          <w:bCs/>
          <w:vanish/>
          <w:sz w:val="26"/>
          <w:szCs w:val="26"/>
        </w:rPr>
      </w:pPr>
    </w:p>
    <w:p w14:paraId="25D3C133" w14:textId="77777777" w:rsidR="001A69BA" w:rsidRDefault="001A69BA" w:rsidP="001A69BA">
      <w:pPr>
        <w:pStyle w:val="Heading2"/>
        <w:numPr>
          <w:ilvl w:val="1"/>
          <w:numId w:val="5"/>
        </w:numPr>
        <w:ind w:left="0" w:firstLine="0"/>
      </w:pPr>
      <w:r>
        <w:t>Strategic Risk – Moderate</w:t>
      </w:r>
    </w:p>
    <w:p w14:paraId="47A7876F" w14:textId="77777777" w:rsidR="001A69BA" w:rsidRDefault="001A69BA" w:rsidP="001A69BA">
      <w:r>
        <w:t>Caledonia accepts a moderate appetite for strategic risk in the pursuit of growth opportunities. This includes expanding our asset base, engaging in exploration and development projects, and operating in Zimbabwe’s dynamic mining environment. Opportunities are pursued only when there is robust geological potential, regulatory pathways, and ESG alignment.</w:t>
      </w:r>
    </w:p>
    <w:p w14:paraId="0103993A" w14:textId="77777777" w:rsidR="001A69BA" w:rsidRDefault="001A69BA" w:rsidP="001A69BA">
      <w:pPr>
        <w:pStyle w:val="Heading2"/>
        <w:numPr>
          <w:ilvl w:val="1"/>
          <w:numId w:val="5"/>
        </w:numPr>
        <w:ind w:left="0" w:firstLine="0"/>
      </w:pPr>
      <w:r>
        <w:t>Operational Risk – Low</w:t>
      </w:r>
    </w:p>
    <w:p w14:paraId="0219E8C4" w14:textId="77777777" w:rsidR="001A69BA" w:rsidRDefault="001A69BA" w:rsidP="001A69BA">
      <w:r>
        <w:t>We have a low tolerance for operational risks that could compromise health, safety, production continuity or environmental integrity. Our approach emphasises robust mine planning, preventive maintenance, disciplined safety practices, and continuous improvement.</w:t>
      </w:r>
    </w:p>
    <w:p w14:paraId="37035E81" w14:textId="77777777" w:rsidR="001A69BA" w:rsidRDefault="001A69BA" w:rsidP="001A69BA">
      <w:pPr>
        <w:pStyle w:val="Heading2"/>
        <w:numPr>
          <w:ilvl w:val="1"/>
          <w:numId w:val="5"/>
        </w:numPr>
        <w:ind w:left="0" w:firstLine="0"/>
      </w:pPr>
      <w:r>
        <w:t>Financial Risk – Moderate</w:t>
      </w:r>
    </w:p>
    <w:p w14:paraId="174D3BCA" w14:textId="77777777" w:rsidR="001A69BA" w:rsidRDefault="001A69BA" w:rsidP="001A69BA">
      <w:r>
        <w:t>We accept a moderate appetite for financial risk, recognising the capital-intensive nature of mining. Exposure to commodity price volatility, exchange rate fluctuations, and inflationary pressure is actively managed. Our treasury strategy balances investment in growth with prudent liquidity, cash flow stability, and hedging policies, where appropriate.</w:t>
      </w:r>
    </w:p>
    <w:p w14:paraId="08FB731A" w14:textId="77777777" w:rsidR="001A69BA" w:rsidRDefault="001A69BA" w:rsidP="001A69BA">
      <w:pPr>
        <w:pStyle w:val="Heading2"/>
        <w:numPr>
          <w:ilvl w:val="1"/>
          <w:numId w:val="5"/>
        </w:numPr>
        <w:ind w:left="0" w:firstLine="0"/>
      </w:pPr>
      <w:r>
        <w:t>Environmental &amp; Social Risk – No tolerance for unacceptable harm</w:t>
      </w:r>
    </w:p>
    <w:p w14:paraId="317B6132" w14:textId="77777777" w:rsidR="001A69BA" w:rsidRDefault="001A69BA" w:rsidP="001A69BA">
      <w:r>
        <w:t>Caledonia operates with zero tolerance for unacceptable environmental degradation and social harm. All operations must comply with local laws, applicable international ESG standards (including aligning with the GISTM and ICMM principles), and internal mitigation controls. Residual risk is strictly managed, and non-compliance is not acceptable.</w:t>
      </w:r>
    </w:p>
    <w:p w14:paraId="654C9035" w14:textId="77777777" w:rsidR="001A69BA" w:rsidRPr="0043540F" w:rsidRDefault="001A69BA" w:rsidP="001A69BA">
      <w:pPr>
        <w:pStyle w:val="Heading2"/>
        <w:numPr>
          <w:ilvl w:val="1"/>
          <w:numId w:val="5"/>
        </w:numPr>
        <w:ind w:left="0" w:firstLine="0"/>
      </w:pPr>
      <w:r w:rsidRPr="0043540F">
        <w:t>Regulatory &amp; Political Risk – Moderate to High</w:t>
      </w:r>
    </w:p>
    <w:p w14:paraId="45452150" w14:textId="77777777" w:rsidR="001A69BA" w:rsidRDefault="001A69BA" w:rsidP="001A69BA">
      <w:r>
        <w:t>Operating in Zimbabwe requires acceptance of moderate-to-high regulatory and political risks. We mitigate this through proactive engagement with the government and stakeholders, compliance with legal and fiscal obligations, scenario planning, and the development of constructive long-term relationships.</w:t>
      </w:r>
    </w:p>
    <w:p w14:paraId="081BCEA9" w14:textId="77777777" w:rsidR="001A69BA" w:rsidRPr="0043540F" w:rsidRDefault="001A69BA" w:rsidP="001A69BA">
      <w:pPr>
        <w:pStyle w:val="Heading2"/>
        <w:numPr>
          <w:ilvl w:val="1"/>
          <w:numId w:val="5"/>
        </w:numPr>
        <w:ind w:left="0" w:firstLine="0"/>
      </w:pPr>
      <w:r w:rsidRPr="0043540F">
        <w:t>Reputational Risk – Low</w:t>
      </w:r>
    </w:p>
    <w:p w14:paraId="2DD3DFA5" w14:textId="77777777" w:rsidR="001A69BA" w:rsidRDefault="001A69BA" w:rsidP="001A69BA">
      <w:r>
        <w:t>We have low tolerance for reputational harm. Ethical conduct, transparent reporting, and stakeholder trust are central to our reputation in the field. This includes adherence to our Code of Business Conduct,</w:t>
      </w:r>
      <w:r w:rsidRPr="00885A86">
        <w:t xml:space="preserve"> Ethics and Anti-Bribery Policy</w:t>
      </w:r>
      <w:r>
        <w:t>, ensuring positive investor relations, and maintaining a consistent dividend policy. Reputation is recognised as an asset critical to our social licence to operate.</w:t>
      </w:r>
    </w:p>
    <w:p w14:paraId="343783E6" w14:textId="77777777" w:rsidR="001A69BA" w:rsidRDefault="001A69BA" w:rsidP="001A69BA">
      <w:pPr>
        <w:pStyle w:val="Heading1"/>
        <w:numPr>
          <w:ilvl w:val="0"/>
          <w:numId w:val="4"/>
        </w:numPr>
      </w:pPr>
      <w:r>
        <w:lastRenderedPageBreak/>
        <w:t>Continuous Review</w:t>
      </w:r>
    </w:p>
    <w:p w14:paraId="5D5AD2A1" w14:textId="50CBE8EB" w:rsidR="001A69BA" w:rsidRPr="00E57C84" w:rsidRDefault="001A69BA" w:rsidP="001A69BA">
      <w:pPr>
        <w:rPr>
          <w:rFonts w:cstheme="minorHAnsi"/>
          <w:sz w:val="24"/>
          <w:szCs w:val="24"/>
        </w:rPr>
      </w:pPr>
      <w:r>
        <w:t>This Risk Appetite Statement will be reviewed annually and updated in line with changes in strategic priorities, operating context, and stakeholder expectations. It is cross-referenced to our principal risks, as disclosed in our Annual Report and ESG Reports, and is integrated into our wider corporate governance and risk management framework.</w:t>
      </w:r>
    </w:p>
    <w:sectPr w:rsidR="001A69BA" w:rsidRPr="00E57C84" w:rsidSect="00800362">
      <w:footerReference w:type="default" r:id="rId32"/>
      <w:headerReference w:type="first" r:id="rId33"/>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99CE" w14:textId="77777777" w:rsidR="00C06AA2" w:rsidRDefault="00C06AA2" w:rsidP="008818B1">
      <w:pPr>
        <w:spacing w:after="0" w:line="240" w:lineRule="auto"/>
      </w:pPr>
      <w:r>
        <w:separator/>
      </w:r>
    </w:p>
  </w:endnote>
  <w:endnote w:type="continuationSeparator" w:id="0">
    <w:p w14:paraId="135CBFB0" w14:textId="77777777" w:rsidR="00C06AA2" w:rsidRDefault="00C06AA2" w:rsidP="00881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368883"/>
      <w:docPartObj>
        <w:docPartGallery w:val="Page Numbers (Bottom of Page)"/>
        <w:docPartUnique/>
      </w:docPartObj>
    </w:sdtPr>
    <w:sdtEndPr>
      <w:rPr>
        <w:noProof/>
      </w:rPr>
    </w:sdtEndPr>
    <w:sdtContent>
      <w:p w14:paraId="0EB33B76" w14:textId="59095960" w:rsidR="008E702A" w:rsidRDefault="008E70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CD54B" w14:textId="77777777" w:rsidR="008E702A" w:rsidRDefault="008E7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0085" w14:textId="77777777" w:rsidR="00C06AA2" w:rsidRDefault="00C06AA2" w:rsidP="008818B1">
      <w:pPr>
        <w:spacing w:after="0" w:line="240" w:lineRule="auto"/>
      </w:pPr>
      <w:r>
        <w:separator/>
      </w:r>
    </w:p>
  </w:footnote>
  <w:footnote w:type="continuationSeparator" w:id="0">
    <w:p w14:paraId="261CD35D" w14:textId="77777777" w:rsidR="00C06AA2" w:rsidRDefault="00C06AA2" w:rsidP="00881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0F93" w14:textId="3201EE48" w:rsidR="008E702A" w:rsidRDefault="008E702A">
    <w:pPr>
      <w:pStyle w:val="Header"/>
    </w:pPr>
    <w:r>
      <w:rPr>
        <w:noProof/>
      </w:rPr>
      <w:drawing>
        <wp:anchor distT="0" distB="0" distL="114300" distR="114300" simplePos="0" relativeHeight="251659264" behindDoc="0" locked="0" layoutInCell="1" allowOverlap="1" wp14:anchorId="0F1F1EA5" wp14:editId="03621752">
          <wp:simplePos x="0" y="0"/>
          <wp:positionH relativeFrom="margin">
            <wp:align>center</wp:align>
          </wp:positionH>
          <wp:positionV relativeFrom="margin">
            <wp:posOffset>-570230</wp:posOffset>
          </wp:positionV>
          <wp:extent cx="3506470" cy="899795"/>
          <wp:effectExtent l="0" t="0" r="0" b="0"/>
          <wp:wrapSquare wrapText="bothSides"/>
          <wp:docPr id="1161410627" name="Picture 1161410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c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0647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041BF"/>
    <w:multiLevelType w:val="hybridMultilevel"/>
    <w:tmpl w:val="BDCCD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F2E56"/>
    <w:multiLevelType w:val="hybridMultilevel"/>
    <w:tmpl w:val="C0BC6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9A7A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764F2E"/>
    <w:multiLevelType w:val="hybridMultilevel"/>
    <w:tmpl w:val="DC60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EB3B00"/>
    <w:multiLevelType w:val="hybridMultilevel"/>
    <w:tmpl w:val="E7FE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881A0B"/>
    <w:multiLevelType w:val="hybridMultilevel"/>
    <w:tmpl w:val="BB6A86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B22294"/>
    <w:multiLevelType w:val="hybridMultilevel"/>
    <w:tmpl w:val="485A139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0385459">
    <w:abstractNumId w:val="1"/>
  </w:num>
  <w:num w:numId="2" w16cid:durableId="461078069">
    <w:abstractNumId w:val="6"/>
  </w:num>
  <w:num w:numId="3" w16cid:durableId="525607030">
    <w:abstractNumId w:val="0"/>
  </w:num>
  <w:num w:numId="4" w16cid:durableId="812911081">
    <w:abstractNumId w:val="5"/>
  </w:num>
  <w:num w:numId="5" w16cid:durableId="1573196521">
    <w:abstractNumId w:val="2"/>
  </w:num>
  <w:num w:numId="6" w16cid:durableId="74984501">
    <w:abstractNumId w:val="3"/>
  </w:num>
  <w:num w:numId="7" w16cid:durableId="1529024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B1"/>
    <w:rsid w:val="000005F4"/>
    <w:rsid w:val="00000A43"/>
    <w:rsid w:val="00001659"/>
    <w:rsid w:val="0000252A"/>
    <w:rsid w:val="00002D4D"/>
    <w:rsid w:val="00003625"/>
    <w:rsid w:val="000039AD"/>
    <w:rsid w:val="00005AE2"/>
    <w:rsid w:val="00006897"/>
    <w:rsid w:val="00010AF6"/>
    <w:rsid w:val="00013D55"/>
    <w:rsid w:val="00014CBA"/>
    <w:rsid w:val="00015D49"/>
    <w:rsid w:val="000231BB"/>
    <w:rsid w:val="00024AA7"/>
    <w:rsid w:val="000261AD"/>
    <w:rsid w:val="00026C24"/>
    <w:rsid w:val="00027FB8"/>
    <w:rsid w:val="00032228"/>
    <w:rsid w:val="000325D3"/>
    <w:rsid w:val="00032893"/>
    <w:rsid w:val="0003309D"/>
    <w:rsid w:val="00037558"/>
    <w:rsid w:val="000378E1"/>
    <w:rsid w:val="000379E0"/>
    <w:rsid w:val="00043884"/>
    <w:rsid w:val="000440A3"/>
    <w:rsid w:val="00046C37"/>
    <w:rsid w:val="000478B1"/>
    <w:rsid w:val="000506C0"/>
    <w:rsid w:val="00050A9E"/>
    <w:rsid w:val="00054F8E"/>
    <w:rsid w:val="0005507B"/>
    <w:rsid w:val="00060EF8"/>
    <w:rsid w:val="00061874"/>
    <w:rsid w:val="0006299F"/>
    <w:rsid w:val="00062CE2"/>
    <w:rsid w:val="00063060"/>
    <w:rsid w:val="000652D1"/>
    <w:rsid w:val="0006691C"/>
    <w:rsid w:val="00066A4D"/>
    <w:rsid w:val="00073084"/>
    <w:rsid w:val="000775A9"/>
    <w:rsid w:val="000775C0"/>
    <w:rsid w:val="000776AD"/>
    <w:rsid w:val="00080982"/>
    <w:rsid w:val="00081711"/>
    <w:rsid w:val="00081F4C"/>
    <w:rsid w:val="00081F74"/>
    <w:rsid w:val="00083141"/>
    <w:rsid w:val="0009060B"/>
    <w:rsid w:val="000A2D3C"/>
    <w:rsid w:val="000A3BD4"/>
    <w:rsid w:val="000A4A67"/>
    <w:rsid w:val="000A5268"/>
    <w:rsid w:val="000A77AD"/>
    <w:rsid w:val="000A78FE"/>
    <w:rsid w:val="000B0326"/>
    <w:rsid w:val="000B073D"/>
    <w:rsid w:val="000B113B"/>
    <w:rsid w:val="000B40F0"/>
    <w:rsid w:val="000B4215"/>
    <w:rsid w:val="000B5F40"/>
    <w:rsid w:val="000B7044"/>
    <w:rsid w:val="000C13B0"/>
    <w:rsid w:val="000C1663"/>
    <w:rsid w:val="000C3089"/>
    <w:rsid w:val="000C3F80"/>
    <w:rsid w:val="000C56F5"/>
    <w:rsid w:val="000C61D4"/>
    <w:rsid w:val="000C6F30"/>
    <w:rsid w:val="000D1344"/>
    <w:rsid w:val="000D26C6"/>
    <w:rsid w:val="000D4897"/>
    <w:rsid w:val="000D613C"/>
    <w:rsid w:val="000E034F"/>
    <w:rsid w:val="000E0A9A"/>
    <w:rsid w:val="000E2CAF"/>
    <w:rsid w:val="000E3F3B"/>
    <w:rsid w:val="000E4C22"/>
    <w:rsid w:val="000E65B0"/>
    <w:rsid w:val="000E7868"/>
    <w:rsid w:val="000F322B"/>
    <w:rsid w:val="000F3496"/>
    <w:rsid w:val="000F3A0B"/>
    <w:rsid w:val="000F4502"/>
    <w:rsid w:val="000F4922"/>
    <w:rsid w:val="000F51C1"/>
    <w:rsid w:val="001030C8"/>
    <w:rsid w:val="0010389D"/>
    <w:rsid w:val="00103961"/>
    <w:rsid w:val="00106E13"/>
    <w:rsid w:val="00112877"/>
    <w:rsid w:val="001208B6"/>
    <w:rsid w:val="00122975"/>
    <w:rsid w:val="00123225"/>
    <w:rsid w:val="00123ABB"/>
    <w:rsid w:val="001241B1"/>
    <w:rsid w:val="00124911"/>
    <w:rsid w:val="00126ABF"/>
    <w:rsid w:val="00130098"/>
    <w:rsid w:val="001321C8"/>
    <w:rsid w:val="0013283B"/>
    <w:rsid w:val="00151C8C"/>
    <w:rsid w:val="001551F8"/>
    <w:rsid w:val="001706E3"/>
    <w:rsid w:val="00170D8A"/>
    <w:rsid w:val="00171110"/>
    <w:rsid w:val="0017125E"/>
    <w:rsid w:val="00171B1F"/>
    <w:rsid w:val="00171BDB"/>
    <w:rsid w:val="0017521C"/>
    <w:rsid w:val="001767CC"/>
    <w:rsid w:val="00181478"/>
    <w:rsid w:val="00183489"/>
    <w:rsid w:val="00184053"/>
    <w:rsid w:val="00195B90"/>
    <w:rsid w:val="001A06AE"/>
    <w:rsid w:val="001A1075"/>
    <w:rsid w:val="001A359A"/>
    <w:rsid w:val="001A5775"/>
    <w:rsid w:val="001A69BA"/>
    <w:rsid w:val="001B14B4"/>
    <w:rsid w:val="001B3C7D"/>
    <w:rsid w:val="001B3E09"/>
    <w:rsid w:val="001B779B"/>
    <w:rsid w:val="001C0358"/>
    <w:rsid w:val="001C367F"/>
    <w:rsid w:val="001C411A"/>
    <w:rsid w:val="001C7E3E"/>
    <w:rsid w:val="001D024E"/>
    <w:rsid w:val="001D270D"/>
    <w:rsid w:val="001D36C2"/>
    <w:rsid w:val="001D6333"/>
    <w:rsid w:val="001D7AC1"/>
    <w:rsid w:val="001E1715"/>
    <w:rsid w:val="001E3141"/>
    <w:rsid w:val="001E3543"/>
    <w:rsid w:val="001E665F"/>
    <w:rsid w:val="001E6933"/>
    <w:rsid w:val="001E7DF8"/>
    <w:rsid w:val="001F42B8"/>
    <w:rsid w:val="001F6B5D"/>
    <w:rsid w:val="001F79DA"/>
    <w:rsid w:val="00200B6F"/>
    <w:rsid w:val="0020426A"/>
    <w:rsid w:val="00205DE3"/>
    <w:rsid w:val="0020610B"/>
    <w:rsid w:val="00206CF4"/>
    <w:rsid w:val="0021124A"/>
    <w:rsid w:val="00212051"/>
    <w:rsid w:val="00213CE3"/>
    <w:rsid w:val="002150BF"/>
    <w:rsid w:val="00220514"/>
    <w:rsid w:val="00221CE9"/>
    <w:rsid w:val="00223DA6"/>
    <w:rsid w:val="00233B7B"/>
    <w:rsid w:val="00234A31"/>
    <w:rsid w:val="0023614E"/>
    <w:rsid w:val="002374D3"/>
    <w:rsid w:val="00241668"/>
    <w:rsid w:val="00241AA0"/>
    <w:rsid w:val="00242666"/>
    <w:rsid w:val="00242C39"/>
    <w:rsid w:val="002553D6"/>
    <w:rsid w:val="00255DC8"/>
    <w:rsid w:val="002568E9"/>
    <w:rsid w:val="00257964"/>
    <w:rsid w:val="00257DA3"/>
    <w:rsid w:val="002622FF"/>
    <w:rsid w:val="00263221"/>
    <w:rsid w:val="002644A0"/>
    <w:rsid w:val="002658B3"/>
    <w:rsid w:val="002669E4"/>
    <w:rsid w:val="0027158C"/>
    <w:rsid w:val="00275E1A"/>
    <w:rsid w:val="0027609B"/>
    <w:rsid w:val="002827BE"/>
    <w:rsid w:val="00283501"/>
    <w:rsid w:val="00290057"/>
    <w:rsid w:val="00290689"/>
    <w:rsid w:val="0029080B"/>
    <w:rsid w:val="00292EB9"/>
    <w:rsid w:val="00293D36"/>
    <w:rsid w:val="0029527B"/>
    <w:rsid w:val="002967AB"/>
    <w:rsid w:val="002A1B41"/>
    <w:rsid w:val="002A7328"/>
    <w:rsid w:val="002A7645"/>
    <w:rsid w:val="002B0476"/>
    <w:rsid w:val="002B0BC5"/>
    <w:rsid w:val="002C6990"/>
    <w:rsid w:val="002D6822"/>
    <w:rsid w:val="002E115F"/>
    <w:rsid w:val="002E3257"/>
    <w:rsid w:val="002E50C5"/>
    <w:rsid w:val="002F2654"/>
    <w:rsid w:val="002F2C0E"/>
    <w:rsid w:val="002F5A7D"/>
    <w:rsid w:val="002F7871"/>
    <w:rsid w:val="002F7B26"/>
    <w:rsid w:val="003003A7"/>
    <w:rsid w:val="0030171F"/>
    <w:rsid w:val="003033E8"/>
    <w:rsid w:val="00304E1E"/>
    <w:rsid w:val="00310828"/>
    <w:rsid w:val="00310A36"/>
    <w:rsid w:val="00320E79"/>
    <w:rsid w:val="003215CD"/>
    <w:rsid w:val="00325100"/>
    <w:rsid w:val="0032713E"/>
    <w:rsid w:val="00327539"/>
    <w:rsid w:val="00336053"/>
    <w:rsid w:val="00336885"/>
    <w:rsid w:val="00337DE8"/>
    <w:rsid w:val="0034212B"/>
    <w:rsid w:val="003428AB"/>
    <w:rsid w:val="00344618"/>
    <w:rsid w:val="00344C06"/>
    <w:rsid w:val="003459A7"/>
    <w:rsid w:val="00350FA4"/>
    <w:rsid w:val="00352122"/>
    <w:rsid w:val="00353893"/>
    <w:rsid w:val="00356326"/>
    <w:rsid w:val="003564E6"/>
    <w:rsid w:val="00356822"/>
    <w:rsid w:val="003626C2"/>
    <w:rsid w:val="003677A8"/>
    <w:rsid w:val="00370133"/>
    <w:rsid w:val="00371219"/>
    <w:rsid w:val="003713A6"/>
    <w:rsid w:val="003737A1"/>
    <w:rsid w:val="00380B5A"/>
    <w:rsid w:val="00380CBC"/>
    <w:rsid w:val="003840A3"/>
    <w:rsid w:val="0038463B"/>
    <w:rsid w:val="00387B09"/>
    <w:rsid w:val="00395323"/>
    <w:rsid w:val="0039566A"/>
    <w:rsid w:val="00397A6A"/>
    <w:rsid w:val="003B0402"/>
    <w:rsid w:val="003B249B"/>
    <w:rsid w:val="003B32D4"/>
    <w:rsid w:val="003B3396"/>
    <w:rsid w:val="003B4115"/>
    <w:rsid w:val="003B5ECA"/>
    <w:rsid w:val="003C1E3E"/>
    <w:rsid w:val="003C3C03"/>
    <w:rsid w:val="003C3C51"/>
    <w:rsid w:val="003C4E49"/>
    <w:rsid w:val="003C7733"/>
    <w:rsid w:val="003D3984"/>
    <w:rsid w:val="003D3C72"/>
    <w:rsid w:val="003D4B66"/>
    <w:rsid w:val="003D4C07"/>
    <w:rsid w:val="003E057B"/>
    <w:rsid w:val="003E0A3C"/>
    <w:rsid w:val="003E1B6C"/>
    <w:rsid w:val="003E2A87"/>
    <w:rsid w:val="003E533F"/>
    <w:rsid w:val="003E7293"/>
    <w:rsid w:val="003E7585"/>
    <w:rsid w:val="003E77E9"/>
    <w:rsid w:val="003F025C"/>
    <w:rsid w:val="003F2350"/>
    <w:rsid w:val="003F5AC3"/>
    <w:rsid w:val="00404318"/>
    <w:rsid w:val="00410297"/>
    <w:rsid w:val="00410A6F"/>
    <w:rsid w:val="004154F5"/>
    <w:rsid w:val="00415945"/>
    <w:rsid w:val="004159DD"/>
    <w:rsid w:val="00421ADC"/>
    <w:rsid w:val="00421F09"/>
    <w:rsid w:val="00423489"/>
    <w:rsid w:val="004247DC"/>
    <w:rsid w:val="00424BA4"/>
    <w:rsid w:val="0042755F"/>
    <w:rsid w:val="00430472"/>
    <w:rsid w:val="00437F62"/>
    <w:rsid w:val="004405D9"/>
    <w:rsid w:val="0044173B"/>
    <w:rsid w:val="0044264D"/>
    <w:rsid w:val="00442886"/>
    <w:rsid w:val="00443311"/>
    <w:rsid w:val="0045072B"/>
    <w:rsid w:val="004518FC"/>
    <w:rsid w:val="00454B0E"/>
    <w:rsid w:val="00455EFD"/>
    <w:rsid w:val="0045697C"/>
    <w:rsid w:val="00460038"/>
    <w:rsid w:val="00463932"/>
    <w:rsid w:val="004644CD"/>
    <w:rsid w:val="00464905"/>
    <w:rsid w:val="004652A4"/>
    <w:rsid w:val="004654D4"/>
    <w:rsid w:val="00470385"/>
    <w:rsid w:val="00474280"/>
    <w:rsid w:val="00475DEA"/>
    <w:rsid w:val="004768A1"/>
    <w:rsid w:val="0048020D"/>
    <w:rsid w:val="0048121A"/>
    <w:rsid w:val="00482A98"/>
    <w:rsid w:val="00484785"/>
    <w:rsid w:val="0048770A"/>
    <w:rsid w:val="00491BDA"/>
    <w:rsid w:val="004A592F"/>
    <w:rsid w:val="004B071C"/>
    <w:rsid w:val="004B4C36"/>
    <w:rsid w:val="004B4D21"/>
    <w:rsid w:val="004B6698"/>
    <w:rsid w:val="004B7852"/>
    <w:rsid w:val="004C0969"/>
    <w:rsid w:val="004C11C4"/>
    <w:rsid w:val="004C1833"/>
    <w:rsid w:val="004C3018"/>
    <w:rsid w:val="004C33DE"/>
    <w:rsid w:val="004C4D35"/>
    <w:rsid w:val="004C6302"/>
    <w:rsid w:val="004C7383"/>
    <w:rsid w:val="004D5847"/>
    <w:rsid w:val="004D7457"/>
    <w:rsid w:val="004D7B30"/>
    <w:rsid w:val="004E0BFD"/>
    <w:rsid w:val="004E14F7"/>
    <w:rsid w:val="004E239E"/>
    <w:rsid w:val="004E2F25"/>
    <w:rsid w:val="004E44AD"/>
    <w:rsid w:val="004E5D21"/>
    <w:rsid w:val="004F07A1"/>
    <w:rsid w:val="004F3009"/>
    <w:rsid w:val="004F4477"/>
    <w:rsid w:val="004F6262"/>
    <w:rsid w:val="00501C77"/>
    <w:rsid w:val="00503B29"/>
    <w:rsid w:val="005071FB"/>
    <w:rsid w:val="00510B91"/>
    <w:rsid w:val="00514486"/>
    <w:rsid w:val="00514B92"/>
    <w:rsid w:val="0051635F"/>
    <w:rsid w:val="00516D96"/>
    <w:rsid w:val="00517B8E"/>
    <w:rsid w:val="00522465"/>
    <w:rsid w:val="00524FFB"/>
    <w:rsid w:val="005257B0"/>
    <w:rsid w:val="00530351"/>
    <w:rsid w:val="00530E04"/>
    <w:rsid w:val="00532C9B"/>
    <w:rsid w:val="00533431"/>
    <w:rsid w:val="00533F34"/>
    <w:rsid w:val="00544EF4"/>
    <w:rsid w:val="00545AF1"/>
    <w:rsid w:val="00547041"/>
    <w:rsid w:val="00551A6B"/>
    <w:rsid w:val="00551EED"/>
    <w:rsid w:val="00552289"/>
    <w:rsid w:val="00552349"/>
    <w:rsid w:val="005569E0"/>
    <w:rsid w:val="005615AF"/>
    <w:rsid w:val="00562240"/>
    <w:rsid w:val="005644DF"/>
    <w:rsid w:val="0056493E"/>
    <w:rsid w:val="00566203"/>
    <w:rsid w:val="005666DC"/>
    <w:rsid w:val="00567962"/>
    <w:rsid w:val="00570886"/>
    <w:rsid w:val="00570AD7"/>
    <w:rsid w:val="00575452"/>
    <w:rsid w:val="0057625F"/>
    <w:rsid w:val="00577769"/>
    <w:rsid w:val="0058586E"/>
    <w:rsid w:val="005903BA"/>
    <w:rsid w:val="00592847"/>
    <w:rsid w:val="00594FC1"/>
    <w:rsid w:val="005A3AE0"/>
    <w:rsid w:val="005A5230"/>
    <w:rsid w:val="005A6A8D"/>
    <w:rsid w:val="005A752B"/>
    <w:rsid w:val="005A7AB9"/>
    <w:rsid w:val="005B0AB8"/>
    <w:rsid w:val="005B1FD4"/>
    <w:rsid w:val="005B26DA"/>
    <w:rsid w:val="005B2A64"/>
    <w:rsid w:val="005B5221"/>
    <w:rsid w:val="005B5F04"/>
    <w:rsid w:val="005C5F78"/>
    <w:rsid w:val="005D413A"/>
    <w:rsid w:val="005D5E10"/>
    <w:rsid w:val="005E22F9"/>
    <w:rsid w:val="005E3843"/>
    <w:rsid w:val="005E3EB5"/>
    <w:rsid w:val="005E66EB"/>
    <w:rsid w:val="005F21DB"/>
    <w:rsid w:val="005F31A0"/>
    <w:rsid w:val="005F3E10"/>
    <w:rsid w:val="005F6301"/>
    <w:rsid w:val="006039F5"/>
    <w:rsid w:val="00605D82"/>
    <w:rsid w:val="00610CAF"/>
    <w:rsid w:val="00613CF7"/>
    <w:rsid w:val="00614825"/>
    <w:rsid w:val="00616AE7"/>
    <w:rsid w:val="0062476B"/>
    <w:rsid w:val="00625EFA"/>
    <w:rsid w:val="0063101B"/>
    <w:rsid w:val="00631FFE"/>
    <w:rsid w:val="0063339C"/>
    <w:rsid w:val="00633653"/>
    <w:rsid w:val="00633DD2"/>
    <w:rsid w:val="006342D3"/>
    <w:rsid w:val="006375C5"/>
    <w:rsid w:val="006400F1"/>
    <w:rsid w:val="00640A2E"/>
    <w:rsid w:val="00641FC8"/>
    <w:rsid w:val="00642728"/>
    <w:rsid w:val="006442F1"/>
    <w:rsid w:val="00644651"/>
    <w:rsid w:val="00651702"/>
    <w:rsid w:val="00651EB6"/>
    <w:rsid w:val="0065246B"/>
    <w:rsid w:val="00654DCA"/>
    <w:rsid w:val="00656A7B"/>
    <w:rsid w:val="00662DB1"/>
    <w:rsid w:val="0066318F"/>
    <w:rsid w:val="0066377F"/>
    <w:rsid w:val="00664C82"/>
    <w:rsid w:val="0066543C"/>
    <w:rsid w:val="00665FA8"/>
    <w:rsid w:val="0066646E"/>
    <w:rsid w:val="0067178E"/>
    <w:rsid w:val="00672DB7"/>
    <w:rsid w:val="00674103"/>
    <w:rsid w:val="00674A3D"/>
    <w:rsid w:val="00674B17"/>
    <w:rsid w:val="0067595E"/>
    <w:rsid w:val="00675C2F"/>
    <w:rsid w:val="0067665F"/>
    <w:rsid w:val="0068209F"/>
    <w:rsid w:val="006832B4"/>
    <w:rsid w:val="006877D9"/>
    <w:rsid w:val="006935E8"/>
    <w:rsid w:val="00693BFE"/>
    <w:rsid w:val="00694A37"/>
    <w:rsid w:val="006A1325"/>
    <w:rsid w:val="006A1994"/>
    <w:rsid w:val="006A29F8"/>
    <w:rsid w:val="006A4B73"/>
    <w:rsid w:val="006A5B8E"/>
    <w:rsid w:val="006A6AAE"/>
    <w:rsid w:val="006A78A0"/>
    <w:rsid w:val="006B3455"/>
    <w:rsid w:val="006B3E5C"/>
    <w:rsid w:val="006B4699"/>
    <w:rsid w:val="006B6A1A"/>
    <w:rsid w:val="006B747A"/>
    <w:rsid w:val="006C3D8F"/>
    <w:rsid w:val="006C55D3"/>
    <w:rsid w:val="006C57BE"/>
    <w:rsid w:val="006C6B7F"/>
    <w:rsid w:val="006D0504"/>
    <w:rsid w:val="006D18D5"/>
    <w:rsid w:val="006D2B5E"/>
    <w:rsid w:val="006D62A7"/>
    <w:rsid w:val="006D67E4"/>
    <w:rsid w:val="006E0867"/>
    <w:rsid w:val="006E47DF"/>
    <w:rsid w:val="006F1B38"/>
    <w:rsid w:val="006F21CF"/>
    <w:rsid w:val="006F4708"/>
    <w:rsid w:val="006F5F0D"/>
    <w:rsid w:val="006F5F12"/>
    <w:rsid w:val="006F7245"/>
    <w:rsid w:val="007004BF"/>
    <w:rsid w:val="007011CB"/>
    <w:rsid w:val="00701D99"/>
    <w:rsid w:val="00705431"/>
    <w:rsid w:val="00706A4A"/>
    <w:rsid w:val="00706B87"/>
    <w:rsid w:val="0071482A"/>
    <w:rsid w:val="00714AF1"/>
    <w:rsid w:val="00715BDA"/>
    <w:rsid w:val="007205DE"/>
    <w:rsid w:val="00722731"/>
    <w:rsid w:val="00725F62"/>
    <w:rsid w:val="0073269D"/>
    <w:rsid w:val="00732A40"/>
    <w:rsid w:val="00732B9B"/>
    <w:rsid w:val="00735AF0"/>
    <w:rsid w:val="00742EA7"/>
    <w:rsid w:val="00745733"/>
    <w:rsid w:val="00746229"/>
    <w:rsid w:val="00746449"/>
    <w:rsid w:val="007509C0"/>
    <w:rsid w:val="00753F61"/>
    <w:rsid w:val="0075573A"/>
    <w:rsid w:val="00755E81"/>
    <w:rsid w:val="00765528"/>
    <w:rsid w:val="00767220"/>
    <w:rsid w:val="007720F3"/>
    <w:rsid w:val="0077560C"/>
    <w:rsid w:val="007774CE"/>
    <w:rsid w:val="007817B2"/>
    <w:rsid w:val="00781D00"/>
    <w:rsid w:val="00783280"/>
    <w:rsid w:val="007878CD"/>
    <w:rsid w:val="00790940"/>
    <w:rsid w:val="007912B3"/>
    <w:rsid w:val="00792081"/>
    <w:rsid w:val="00792679"/>
    <w:rsid w:val="00794793"/>
    <w:rsid w:val="00794D49"/>
    <w:rsid w:val="007A0D71"/>
    <w:rsid w:val="007A17DB"/>
    <w:rsid w:val="007A1BFC"/>
    <w:rsid w:val="007A1DF6"/>
    <w:rsid w:val="007A38CA"/>
    <w:rsid w:val="007A44F9"/>
    <w:rsid w:val="007B1DC6"/>
    <w:rsid w:val="007B42C1"/>
    <w:rsid w:val="007B735E"/>
    <w:rsid w:val="007C246B"/>
    <w:rsid w:val="007D0540"/>
    <w:rsid w:val="007D0EFC"/>
    <w:rsid w:val="007D28D6"/>
    <w:rsid w:val="007D3D60"/>
    <w:rsid w:val="007E0212"/>
    <w:rsid w:val="007E0C8F"/>
    <w:rsid w:val="007E229F"/>
    <w:rsid w:val="007E3251"/>
    <w:rsid w:val="007F0A65"/>
    <w:rsid w:val="007F15D7"/>
    <w:rsid w:val="007F20F5"/>
    <w:rsid w:val="007F2F5A"/>
    <w:rsid w:val="007F3BD3"/>
    <w:rsid w:val="007F6795"/>
    <w:rsid w:val="007F7B2F"/>
    <w:rsid w:val="00800272"/>
    <w:rsid w:val="00800362"/>
    <w:rsid w:val="00800453"/>
    <w:rsid w:val="008047C1"/>
    <w:rsid w:val="0081298D"/>
    <w:rsid w:val="00814EBC"/>
    <w:rsid w:val="00820629"/>
    <w:rsid w:val="00821F69"/>
    <w:rsid w:val="008225F3"/>
    <w:rsid w:val="008250E8"/>
    <w:rsid w:val="00831EC3"/>
    <w:rsid w:val="008345A5"/>
    <w:rsid w:val="00834F1C"/>
    <w:rsid w:val="008366D6"/>
    <w:rsid w:val="00837747"/>
    <w:rsid w:val="00837B28"/>
    <w:rsid w:val="008411FE"/>
    <w:rsid w:val="00841A8A"/>
    <w:rsid w:val="008432DA"/>
    <w:rsid w:val="00845390"/>
    <w:rsid w:val="00845F00"/>
    <w:rsid w:val="008474E8"/>
    <w:rsid w:val="0085041F"/>
    <w:rsid w:val="00851D70"/>
    <w:rsid w:val="00856AE0"/>
    <w:rsid w:val="00857CB9"/>
    <w:rsid w:val="00867C6D"/>
    <w:rsid w:val="008705A9"/>
    <w:rsid w:val="008714FF"/>
    <w:rsid w:val="00871E6E"/>
    <w:rsid w:val="00872FB9"/>
    <w:rsid w:val="00872FC5"/>
    <w:rsid w:val="00875887"/>
    <w:rsid w:val="008818B1"/>
    <w:rsid w:val="0088482F"/>
    <w:rsid w:val="0088568B"/>
    <w:rsid w:val="00886BF5"/>
    <w:rsid w:val="008878C0"/>
    <w:rsid w:val="00891D33"/>
    <w:rsid w:val="00893282"/>
    <w:rsid w:val="008A0A17"/>
    <w:rsid w:val="008A30BA"/>
    <w:rsid w:val="008A5007"/>
    <w:rsid w:val="008A5307"/>
    <w:rsid w:val="008A5C7B"/>
    <w:rsid w:val="008A74D8"/>
    <w:rsid w:val="008B1F59"/>
    <w:rsid w:val="008B2D8D"/>
    <w:rsid w:val="008B4DBD"/>
    <w:rsid w:val="008B5EFD"/>
    <w:rsid w:val="008C2838"/>
    <w:rsid w:val="008C4E18"/>
    <w:rsid w:val="008D6361"/>
    <w:rsid w:val="008E0F06"/>
    <w:rsid w:val="008E1F69"/>
    <w:rsid w:val="008E296F"/>
    <w:rsid w:val="008E3798"/>
    <w:rsid w:val="008E496F"/>
    <w:rsid w:val="008E49C4"/>
    <w:rsid w:val="008E702A"/>
    <w:rsid w:val="008E7F76"/>
    <w:rsid w:val="008F01FD"/>
    <w:rsid w:val="008F1898"/>
    <w:rsid w:val="008F7538"/>
    <w:rsid w:val="008F7998"/>
    <w:rsid w:val="009007D7"/>
    <w:rsid w:val="0090085E"/>
    <w:rsid w:val="0090193F"/>
    <w:rsid w:val="00903A12"/>
    <w:rsid w:val="00904FDB"/>
    <w:rsid w:val="00907146"/>
    <w:rsid w:val="00913878"/>
    <w:rsid w:val="009148BB"/>
    <w:rsid w:val="00917E2D"/>
    <w:rsid w:val="00920D2C"/>
    <w:rsid w:val="00922101"/>
    <w:rsid w:val="00926274"/>
    <w:rsid w:val="00926EC2"/>
    <w:rsid w:val="00927EF2"/>
    <w:rsid w:val="00931310"/>
    <w:rsid w:val="0093224E"/>
    <w:rsid w:val="0093296C"/>
    <w:rsid w:val="00934311"/>
    <w:rsid w:val="009345BD"/>
    <w:rsid w:val="00941C51"/>
    <w:rsid w:val="0094423E"/>
    <w:rsid w:val="00945811"/>
    <w:rsid w:val="009459FC"/>
    <w:rsid w:val="00945A46"/>
    <w:rsid w:val="00947486"/>
    <w:rsid w:val="00947D95"/>
    <w:rsid w:val="00951049"/>
    <w:rsid w:val="009512DE"/>
    <w:rsid w:val="00952C8B"/>
    <w:rsid w:val="00955CB2"/>
    <w:rsid w:val="0096038B"/>
    <w:rsid w:val="0096234F"/>
    <w:rsid w:val="0096519D"/>
    <w:rsid w:val="00966397"/>
    <w:rsid w:val="00966930"/>
    <w:rsid w:val="009669CE"/>
    <w:rsid w:val="00967FAA"/>
    <w:rsid w:val="00971C11"/>
    <w:rsid w:val="0097255B"/>
    <w:rsid w:val="00974406"/>
    <w:rsid w:val="0097533D"/>
    <w:rsid w:val="00976B88"/>
    <w:rsid w:val="009832BD"/>
    <w:rsid w:val="009878FE"/>
    <w:rsid w:val="0099046A"/>
    <w:rsid w:val="0099799A"/>
    <w:rsid w:val="009A0C3A"/>
    <w:rsid w:val="009A1403"/>
    <w:rsid w:val="009A4286"/>
    <w:rsid w:val="009B081C"/>
    <w:rsid w:val="009B6339"/>
    <w:rsid w:val="009B7DF9"/>
    <w:rsid w:val="009B7FA7"/>
    <w:rsid w:val="009C3722"/>
    <w:rsid w:val="009C5F2D"/>
    <w:rsid w:val="009D7750"/>
    <w:rsid w:val="009E40E1"/>
    <w:rsid w:val="009E4958"/>
    <w:rsid w:val="009E58E6"/>
    <w:rsid w:val="009E6286"/>
    <w:rsid w:val="009E6EAA"/>
    <w:rsid w:val="009F2C1F"/>
    <w:rsid w:val="009F2DB8"/>
    <w:rsid w:val="009F4CA6"/>
    <w:rsid w:val="009F65E1"/>
    <w:rsid w:val="00A01FF6"/>
    <w:rsid w:val="00A03159"/>
    <w:rsid w:val="00A05364"/>
    <w:rsid w:val="00A07C59"/>
    <w:rsid w:val="00A12133"/>
    <w:rsid w:val="00A15C9F"/>
    <w:rsid w:val="00A22E3C"/>
    <w:rsid w:val="00A24046"/>
    <w:rsid w:val="00A24071"/>
    <w:rsid w:val="00A24815"/>
    <w:rsid w:val="00A30DF3"/>
    <w:rsid w:val="00A3340A"/>
    <w:rsid w:val="00A33BF5"/>
    <w:rsid w:val="00A34B8D"/>
    <w:rsid w:val="00A361DF"/>
    <w:rsid w:val="00A40ABC"/>
    <w:rsid w:val="00A41895"/>
    <w:rsid w:val="00A41F70"/>
    <w:rsid w:val="00A42588"/>
    <w:rsid w:val="00A43916"/>
    <w:rsid w:val="00A479B2"/>
    <w:rsid w:val="00A50E86"/>
    <w:rsid w:val="00A5226B"/>
    <w:rsid w:val="00A53F04"/>
    <w:rsid w:val="00A63398"/>
    <w:rsid w:val="00A63E32"/>
    <w:rsid w:val="00A66133"/>
    <w:rsid w:val="00A67A2C"/>
    <w:rsid w:val="00A70C1C"/>
    <w:rsid w:val="00A70E4D"/>
    <w:rsid w:val="00A71FF7"/>
    <w:rsid w:val="00A752E8"/>
    <w:rsid w:val="00A753F9"/>
    <w:rsid w:val="00A7594A"/>
    <w:rsid w:val="00A75F5F"/>
    <w:rsid w:val="00A76039"/>
    <w:rsid w:val="00A77120"/>
    <w:rsid w:val="00A779B9"/>
    <w:rsid w:val="00A77CB7"/>
    <w:rsid w:val="00A80B62"/>
    <w:rsid w:val="00A84647"/>
    <w:rsid w:val="00A859CE"/>
    <w:rsid w:val="00A90840"/>
    <w:rsid w:val="00A91427"/>
    <w:rsid w:val="00A91D59"/>
    <w:rsid w:val="00A923EF"/>
    <w:rsid w:val="00A93417"/>
    <w:rsid w:val="00A94BE7"/>
    <w:rsid w:val="00A9517C"/>
    <w:rsid w:val="00A9620A"/>
    <w:rsid w:val="00A97A5E"/>
    <w:rsid w:val="00AA03F3"/>
    <w:rsid w:val="00AA1F61"/>
    <w:rsid w:val="00AA2C7A"/>
    <w:rsid w:val="00AA39B9"/>
    <w:rsid w:val="00AA3A0B"/>
    <w:rsid w:val="00AA4C29"/>
    <w:rsid w:val="00AB1DEE"/>
    <w:rsid w:val="00AB211F"/>
    <w:rsid w:val="00AC4D3D"/>
    <w:rsid w:val="00AC552B"/>
    <w:rsid w:val="00AD2B77"/>
    <w:rsid w:val="00AD42FB"/>
    <w:rsid w:val="00AD4315"/>
    <w:rsid w:val="00AD4858"/>
    <w:rsid w:val="00AE11E1"/>
    <w:rsid w:val="00AE1E75"/>
    <w:rsid w:val="00AE2DB8"/>
    <w:rsid w:val="00AE45B0"/>
    <w:rsid w:val="00AE57D4"/>
    <w:rsid w:val="00AF0717"/>
    <w:rsid w:val="00AF09EA"/>
    <w:rsid w:val="00B0230B"/>
    <w:rsid w:val="00B02A39"/>
    <w:rsid w:val="00B02B12"/>
    <w:rsid w:val="00B02FD2"/>
    <w:rsid w:val="00B04212"/>
    <w:rsid w:val="00B055B4"/>
    <w:rsid w:val="00B06D1E"/>
    <w:rsid w:val="00B07E42"/>
    <w:rsid w:val="00B11218"/>
    <w:rsid w:val="00B1161D"/>
    <w:rsid w:val="00B13555"/>
    <w:rsid w:val="00B15B95"/>
    <w:rsid w:val="00B200E8"/>
    <w:rsid w:val="00B21A19"/>
    <w:rsid w:val="00B21FD1"/>
    <w:rsid w:val="00B22958"/>
    <w:rsid w:val="00B22AC1"/>
    <w:rsid w:val="00B23560"/>
    <w:rsid w:val="00B242DE"/>
    <w:rsid w:val="00B2548A"/>
    <w:rsid w:val="00B26810"/>
    <w:rsid w:val="00B339E3"/>
    <w:rsid w:val="00B35552"/>
    <w:rsid w:val="00B363DC"/>
    <w:rsid w:val="00B36D37"/>
    <w:rsid w:val="00B37814"/>
    <w:rsid w:val="00B423FA"/>
    <w:rsid w:val="00B4252C"/>
    <w:rsid w:val="00B45549"/>
    <w:rsid w:val="00B45C66"/>
    <w:rsid w:val="00B51226"/>
    <w:rsid w:val="00B52FBF"/>
    <w:rsid w:val="00B60872"/>
    <w:rsid w:val="00B63169"/>
    <w:rsid w:val="00B64BDD"/>
    <w:rsid w:val="00B65C6A"/>
    <w:rsid w:val="00B669FC"/>
    <w:rsid w:val="00B671DE"/>
    <w:rsid w:val="00B709A9"/>
    <w:rsid w:val="00B71104"/>
    <w:rsid w:val="00B7184C"/>
    <w:rsid w:val="00B74425"/>
    <w:rsid w:val="00B81BEF"/>
    <w:rsid w:val="00B8231A"/>
    <w:rsid w:val="00B82B43"/>
    <w:rsid w:val="00B85420"/>
    <w:rsid w:val="00B94FE5"/>
    <w:rsid w:val="00B95396"/>
    <w:rsid w:val="00B95FDB"/>
    <w:rsid w:val="00BA4342"/>
    <w:rsid w:val="00BA4EB2"/>
    <w:rsid w:val="00BA4FCA"/>
    <w:rsid w:val="00BA52AC"/>
    <w:rsid w:val="00BA5A0C"/>
    <w:rsid w:val="00BB0453"/>
    <w:rsid w:val="00BB50A4"/>
    <w:rsid w:val="00BB6C3B"/>
    <w:rsid w:val="00BC0988"/>
    <w:rsid w:val="00BC50DB"/>
    <w:rsid w:val="00BC5AEC"/>
    <w:rsid w:val="00BC6E34"/>
    <w:rsid w:val="00BC7CD8"/>
    <w:rsid w:val="00BD37A8"/>
    <w:rsid w:val="00BE0332"/>
    <w:rsid w:val="00BF0E18"/>
    <w:rsid w:val="00BF1696"/>
    <w:rsid w:val="00BF36DC"/>
    <w:rsid w:val="00C0098D"/>
    <w:rsid w:val="00C04AA9"/>
    <w:rsid w:val="00C05AEE"/>
    <w:rsid w:val="00C06AA2"/>
    <w:rsid w:val="00C077C2"/>
    <w:rsid w:val="00C138A1"/>
    <w:rsid w:val="00C1540D"/>
    <w:rsid w:val="00C15AF8"/>
    <w:rsid w:val="00C1657B"/>
    <w:rsid w:val="00C1663F"/>
    <w:rsid w:val="00C17E05"/>
    <w:rsid w:val="00C20DA5"/>
    <w:rsid w:val="00C22D71"/>
    <w:rsid w:val="00C24433"/>
    <w:rsid w:val="00C25C6B"/>
    <w:rsid w:val="00C266A0"/>
    <w:rsid w:val="00C35523"/>
    <w:rsid w:val="00C35ED8"/>
    <w:rsid w:val="00C36ADF"/>
    <w:rsid w:val="00C40843"/>
    <w:rsid w:val="00C40E48"/>
    <w:rsid w:val="00C45610"/>
    <w:rsid w:val="00C462B2"/>
    <w:rsid w:val="00C46B00"/>
    <w:rsid w:val="00C4764F"/>
    <w:rsid w:val="00C47CDE"/>
    <w:rsid w:val="00C51F16"/>
    <w:rsid w:val="00C521DE"/>
    <w:rsid w:val="00C53C97"/>
    <w:rsid w:val="00C55BCB"/>
    <w:rsid w:val="00C5649D"/>
    <w:rsid w:val="00C61C10"/>
    <w:rsid w:val="00C62125"/>
    <w:rsid w:val="00C63081"/>
    <w:rsid w:val="00C630D1"/>
    <w:rsid w:val="00C65E57"/>
    <w:rsid w:val="00C70174"/>
    <w:rsid w:val="00C70466"/>
    <w:rsid w:val="00C70A7E"/>
    <w:rsid w:val="00C71996"/>
    <w:rsid w:val="00C72221"/>
    <w:rsid w:val="00C728A3"/>
    <w:rsid w:val="00C750CE"/>
    <w:rsid w:val="00C75B1F"/>
    <w:rsid w:val="00C7692C"/>
    <w:rsid w:val="00C77BA4"/>
    <w:rsid w:val="00C81C18"/>
    <w:rsid w:val="00C81C42"/>
    <w:rsid w:val="00C86A1C"/>
    <w:rsid w:val="00C87E29"/>
    <w:rsid w:val="00C90378"/>
    <w:rsid w:val="00C93542"/>
    <w:rsid w:val="00CA0DE6"/>
    <w:rsid w:val="00CA1776"/>
    <w:rsid w:val="00CA36B5"/>
    <w:rsid w:val="00CA6F77"/>
    <w:rsid w:val="00CB0BA8"/>
    <w:rsid w:val="00CB23BE"/>
    <w:rsid w:val="00CB4B67"/>
    <w:rsid w:val="00CB511D"/>
    <w:rsid w:val="00CB6729"/>
    <w:rsid w:val="00CB7BD2"/>
    <w:rsid w:val="00CC0020"/>
    <w:rsid w:val="00CC0824"/>
    <w:rsid w:val="00CC20DF"/>
    <w:rsid w:val="00CC3598"/>
    <w:rsid w:val="00CC48E9"/>
    <w:rsid w:val="00CC4B77"/>
    <w:rsid w:val="00CC4DB3"/>
    <w:rsid w:val="00CD08F2"/>
    <w:rsid w:val="00CD14E5"/>
    <w:rsid w:val="00CD2A11"/>
    <w:rsid w:val="00CD2D80"/>
    <w:rsid w:val="00CD3D1B"/>
    <w:rsid w:val="00CD7EB9"/>
    <w:rsid w:val="00CE1705"/>
    <w:rsid w:val="00CE19F9"/>
    <w:rsid w:val="00CE3C00"/>
    <w:rsid w:val="00CE5DEF"/>
    <w:rsid w:val="00CF1D4E"/>
    <w:rsid w:val="00CF2AA8"/>
    <w:rsid w:val="00D05B91"/>
    <w:rsid w:val="00D07950"/>
    <w:rsid w:val="00D14409"/>
    <w:rsid w:val="00D150D7"/>
    <w:rsid w:val="00D23177"/>
    <w:rsid w:val="00D2402A"/>
    <w:rsid w:val="00D24E71"/>
    <w:rsid w:val="00D261BC"/>
    <w:rsid w:val="00D30C46"/>
    <w:rsid w:val="00D41548"/>
    <w:rsid w:val="00D46421"/>
    <w:rsid w:val="00D5126C"/>
    <w:rsid w:val="00D55A7C"/>
    <w:rsid w:val="00D55E80"/>
    <w:rsid w:val="00D631F0"/>
    <w:rsid w:val="00D67684"/>
    <w:rsid w:val="00D70D0B"/>
    <w:rsid w:val="00D72DFC"/>
    <w:rsid w:val="00D7496E"/>
    <w:rsid w:val="00D77170"/>
    <w:rsid w:val="00D80F02"/>
    <w:rsid w:val="00D86DD1"/>
    <w:rsid w:val="00D93C01"/>
    <w:rsid w:val="00DA1B8F"/>
    <w:rsid w:val="00DA1F1C"/>
    <w:rsid w:val="00DA1FC5"/>
    <w:rsid w:val="00DA77D9"/>
    <w:rsid w:val="00DA7FD9"/>
    <w:rsid w:val="00DB13A5"/>
    <w:rsid w:val="00DB173F"/>
    <w:rsid w:val="00DB2CAC"/>
    <w:rsid w:val="00DB527F"/>
    <w:rsid w:val="00DB6D38"/>
    <w:rsid w:val="00DB7B52"/>
    <w:rsid w:val="00DC0426"/>
    <w:rsid w:val="00DC6987"/>
    <w:rsid w:val="00DC6B18"/>
    <w:rsid w:val="00DC771A"/>
    <w:rsid w:val="00DC7E46"/>
    <w:rsid w:val="00DD2B57"/>
    <w:rsid w:val="00DE1DC0"/>
    <w:rsid w:val="00DE209C"/>
    <w:rsid w:val="00DE7379"/>
    <w:rsid w:val="00DF1BA1"/>
    <w:rsid w:val="00DF2E62"/>
    <w:rsid w:val="00DF59D5"/>
    <w:rsid w:val="00DF6F6B"/>
    <w:rsid w:val="00E0017C"/>
    <w:rsid w:val="00E0020D"/>
    <w:rsid w:val="00E02AB5"/>
    <w:rsid w:val="00E02BE9"/>
    <w:rsid w:val="00E03E9C"/>
    <w:rsid w:val="00E05491"/>
    <w:rsid w:val="00E0752F"/>
    <w:rsid w:val="00E11C9B"/>
    <w:rsid w:val="00E149B3"/>
    <w:rsid w:val="00E1591E"/>
    <w:rsid w:val="00E165F5"/>
    <w:rsid w:val="00E21746"/>
    <w:rsid w:val="00E22705"/>
    <w:rsid w:val="00E244BE"/>
    <w:rsid w:val="00E24610"/>
    <w:rsid w:val="00E246AC"/>
    <w:rsid w:val="00E24D24"/>
    <w:rsid w:val="00E31BB5"/>
    <w:rsid w:val="00E32A61"/>
    <w:rsid w:val="00E33BC5"/>
    <w:rsid w:val="00E34C6B"/>
    <w:rsid w:val="00E36026"/>
    <w:rsid w:val="00E369B2"/>
    <w:rsid w:val="00E4181B"/>
    <w:rsid w:val="00E41A9C"/>
    <w:rsid w:val="00E43A16"/>
    <w:rsid w:val="00E443C8"/>
    <w:rsid w:val="00E46DDD"/>
    <w:rsid w:val="00E46F38"/>
    <w:rsid w:val="00E513BB"/>
    <w:rsid w:val="00E51963"/>
    <w:rsid w:val="00E54CCE"/>
    <w:rsid w:val="00E57C84"/>
    <w:rsid w:val="00E6124A"/>
    <w:rsid w:val="00E61657"/>
    <w:rsid w:val="00E661E0"/>
    <w:rsid w:val="00E678E2"/>
    <w:rsid w:val="00E723C5"/>
    <w:rsid w:val="00E73505"/>
    <w:rsid w:val="00E74C64"/>
    <w:rsid w:val="00E76325"/>
    <w:rsid w:val="00E76E1D"/>
    <w:rsid w:val="00E86813"/>
    <w:rsid w:val="00E91BE3"/>
    <w:rsid w:val="00E93800"/>
    <w:rsid w:val="00E93BA4"/>
    <w:rsid w:val="00EA0B8C"/>
    <w:rsid w:val="00EA0DE8"/>
    <w:rsid w:val="00EA4E5C"/>
    <w:rsid w:val="00EA5557"/>
    <w:rsid w:val="00EB045D"/>
    <w:rsid w:val="00EB1406"/>
    <w:rsid w:val="00EB3957"/>
    <w:rsid w:val="00EB6ED8"/>
    <w:rsid w:val="00EC53C0"/>
    <w:rsid w:val="00EC5752"/>
    <w:rsid w:val="00ED0774"/>
    <w:rsid w:val="00ED1602"/>
    <w:rsid w:val="00ED4D39"/>
    <w:rsid w:val="00ED525D"/>
    <w:rsid w:val="00EE0527"/>
    <w:rsid w:val="00EE0F87"/>
    <w:rsid w:val="00EE2881"/>
    <w:rsid w:val="00EE5F08"/>
    <w:rsid w:val="00EE5FB8"/>
    <w:rsid w:val="00EF0A8C"/>
    <w:rsid w:val="00EF0BA9"/>
    <w:rsid w:val="00EF15ED"/>
    <w:rsid w:val="00EF2524"/>
    <w:rsid w:val="00EF349B"/>
    <w:rsid w:val="00EF56DB"/>
    <w:rsid w:val="00EF64DD"/>
    <w:rsid w:val="00EF70FD"/>
    <w:rsid w:val="00EF74C1"/>
    <w:rsid w:val="00F0154B"/>
    <w:rsid w:val="00F0377C"/>
    <w:rsid w:val="00F12C14"/>
    <w:rsid w:val="00F14785"/>
    <w:rsid w:val="00F148FD"/>
    <w:rsid w:val="00F1635F"/>
    <w:rsid w:val="00F2031A"/>
    <w:rsid w:val="00F214E8"/>
    <w:rsid w:val="00F24AA0"/>
    <w:rsid w:val="00F2661A"/>
    <w:rsid w:val="00F30EB8"/>
    <w:rsid w:val="00F32FB9"/>
    <w:rsid w:val="00F415DE"/>
    <w:rsid w:val="00F45049"/>
    <w:rsid w:val="00F451EE"/>
    <w:rsid w:val="00F452AD"/>
    <w:rsid w:val="00F4762F"/>
    <w:rsid w:val="00F50DE8"/>
    <w:rsid w:val="00F5443B"/>
    <w:rsid w:val="00F63A01"/>
    <w:rsid w:val="00F65384"/>
    <w:rsid w:val="00F670A1"/>
    <w:rsid w:val="00F7149A"/>
    <w:rsid w:val="00F741DE"/>
    <w:rsid w:val="00F76D75"/>
    <w:rsid w:val="00F85AD4"/>
    <w:rsid w:val="00F85B62"/>
    <w:rsid w:val="00F872DF"/>
    <w:rsid w:val="00F873B4"/>
    <w:rsid w:val="00FA1B53"/>
    <w:rsid w:val="00FA2482"/>
    <w:rsid w:val="00FA5194"/>
    <w:rsid w:val="00FA530F"/>
    <w:rsid w:val="00FA678F"/>
    <w:rsid w:val="00FA7EF0"/>
    <w:rsid w:val="00FB119C"/>
    <w:rsid w:val="00FB1AF0"/>
    <w:rsid w:val="00FB1AFB"/>
    <w:rsid w:val="00FB24CC"/>
    <w:rsid w:val="00FB2E8F"/>
    <w:rsid w:val="00FB6580"/>
    <w:rsid w:val="00FB7515"/>
    <w:rsid w:val="00FC0AFE"/>
    <w:rsid w:val="00FC6920"/>
    <w:rsid w:val="00FC7446"/>
    <w:rsid w:val="00FD6D09"/>
    <w:rsid w:val="00FD6E8C"/>
    <w:rsid w:val="00FD73DC"/>
    <w:rsid w:val="00FE0998"/>
    <w:rsid w:val="00FE0F7C"/>
    <w:rsid w:val="00FE1D22"/>
    <w:rsid w:val="00FE21DC"/>
    <w:rsid w:val="00FE2A84"/>
    <w:rsid w:val="00FE3593"/>
    <w:rsid w:val="00FE5D1D"/>
    <w:rsid w:val="00FF281A"/>
    <w:rsid w:val="00FF7A36"/>
    <w:rsid w:val="00FF7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7BBF"/>
  <w15:chartTrackingRefBased/>
  <w15:docId w15:val="{628B5DD2-9622-4414-9386-B96D0A74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9BA"/>
    <w:pPr>
      <w:keepNext/>
      <w:keepLines/>
      <w:spacing w:before="480" w:after="0" w:line="276" w:lineRule="auto"/>
      <w:outlineLvl w:val="0"/>
    </w:pPr>
    <w:rPr>
      <w:rFonts w:ascii="Arial" w:eastAsiaTheme="majorEastAsia" w:hAnsi="Arial" w:cstheme="majorBidi"/>
      <w:b/>
      <w:bCs/>
      <w:sz w:val="28"/>
      <w:szCs w:val="28"/>
      <w:lang w:val="en-US"/>
    </w:rPr>
  </w:style>
  <w:style w:type="paragraph" w:styleId="Heading2">
    <w:name w:val="heading 2"/>
    <w:basedOn w:val="Normal"/>
    <w:next w:val="Normal"/>
    <w:link w:val="Heading2Char"/>
    <w:uiPriority w:val="9"/>
    <w:unhideWhenUsed/>
    <w:qFormat/>
    <w:rsid w:val="001A69BA"/>
    <w:pPr>
      <w:keepNext/>
      <w:keepLines/>
      <w:spacing w:before="200" w:after="0" w:line="276" w:lineRule="auto"/>
      <w:outlineLvl w:val="1"/>
    </w:pPr>
    <w:rPr>
      <w:rFonts w:ascii="Arial" w:eastAsiaTheme="majorEastAsia" w:hAnsi="Arial" w:cstheme="majorBidi"/>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8B1"/>
  </w:style>
  <w:style w:type="paragraph" w:styleId="Footer">
    <w:name w:val="footer"/>
    <w:basedOn w:val="Normal"/>
    <w:link w:val="FooterChar"/>
    <w:uiPriority w:val="99"/>
    <w:unhideWhenUsed/>
    <w:rsid w:val="00881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8B1"/>
  </w:style>
  <w:style w:type="paragraph" w:customStyle="1" w:styleId="Pa0">
    <w:name w:val="Pa0"/>
    <w:basedOn w:val="Normal"/>
    <w:next w:val="Normal"/>
    <w:uiPriority w:val="99"/>
    <w:rsid w:val="008818B1"/>
    <w:pPr>
      <w:autoSpaceDE w:val="0"/>
      <w:autoSpaceDN w:val="0"/>
      <w:adjustRightInd w:val="0"/>
      <w:spacing w:after="0" w:line="241" w:lineRule="atLeast"/>
    </w:pPr>
    <w:rPr>
      <w:rFonts w:ascii="Frutiger 45 Light" w:hAnsi="Frutiger 45 Light"/>
      <w:sz w:val="24"/>
      <w:szCs w:val="24"/>
    </w:rPr>
  </w:style>
  <w:style w:type="character" w:customStyle="1" w:styleId="A0">
    <w:name w:val="A0"/>
    <w:uiPriority w:val="99"/>
    <w:rsid w:val="008818B1"/>
    <w:rPr>
      <w:rFonts w:cs="Frutiger 45 Light"/>
      <w:b/>
      <w:bCs/>
      <w:color w:val="000000"/>
      <w:sz w:val="28"/>
      <w:szCs w:val="28"/>
    </w:rPr>
  </w:style>
  <w:style w:type="table" w:styleId="TableGrid">
    <w:name w:val="Table Grid"/>
    <w:basedOn w:val="TableNormal"/>
    <w:uiPriority w:val="59"/>
    <w:rsid w:val="00881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8818B1"/>
    <w:rPr>
      <w:rFonts w:cs="Frutiger 45 Light"/>
      <w:b/>
      <w:bCs/>
      <w:color w:val="000000"/>
      <w:sz w:val="18"/>
      <w:szCs w:val="18"/>
    </w:rPr>
  </w:style>
  <w:style w:type="paragraph" w:styleId="ListParagraph">
    <w:name w:val="List Paragraph"/>
    <w:aliases w:val="Table of contents numbered"/>
    <w:basedOn w:val="Normal"/>
    <w:link w:val="ListParagraphChar"/>
    <w:uiPriority w:val="34"/>
    <w:qFormat/>
    <w:rsid w:val="008818B1"/>
    <w:pPr>
      <w:ind w:left="720"/>
      <w:contextualSpacing/>
    </w:pPr>
  </w:style>
  <w:style w:type="paragraph" w:styleId="BalloonText">
    <w:name w:val="Balloon Text"/>
    <w:basedOn w:val="Normal"/>
    <w:link w:val="BalloonTextChar"/>
    <w:uiPriority w:val="99"/>
    <w:semiHidden/>
    <w:unhideWhenUsed/>
    <w:rsid w:val="00566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6DC"/>
    <w:rPr>
      <w:rFonts w:ascii="Segoe UI" w:hAnsi="Segoe UI" w:cs="Segoe UI"/>
      <w:sz w:val="18"/>
      <w:szCs w:val="18"/>
    </w:rPr>
  </w:style>
  <w:style w:type="character" w:styleId="Hyperlink">
    <w:name w:val="Hyperlink"/>
    <w:basedOn w:val="DefaultParagraphFont"/>
    <w:uiPriority w:val="99"/>
    <w:unhideWhenUsed/>
    <w:rsid w:val="007878CD"/>
    <w:rPr>
      <w:color w:val="0563C1" w:themeColor="hyperlink"/>
      <w:u w:val="single"/>
    </w:rPr>
  </w:style>
  <w:style w:type="character" w:styleId="UnresolvedMention">
    <w:name w:val="Unresolved Mention"/>
    <w:basedOn w:val="DefaultParagraphFont"/>
    <w:uiPriority w:val="99"/>
    <w:semiHidden/>
    <w:unhideWhenUsed/>
    <w:rsid w:val="007878CD"/>
    <w:rPr>
      <w:color w:val="605E5C"/>
      <w:shd w:val="clear" w:color="auto" w:fill="E1DFDD"/>
    </w:rPr>
  </w:style>
  <w:style w:type="character" w:styleId="CommentReference">
    <w:name w:val="annotation reference"/>
    <w:basedOn w:val="DefaultParagraphFont"/>
    <w:uiPriority w:val="99"/>
    <w:semiHidden/>
    <w:unhideWhenUsed/>
    <w:rsid w:val="00DB6D38"/>
    <w:rPr>
      <w:sz w:val="16"/>
      <w:szCs w:val="16"/>
    </w:rPr>
  </w:style>
  <w:style w:type="paragraph" w:styleId="CommentText">
    <w:name w:val="annotation text"/>
    <w:basedOn w:val="Normal"/>
    <w:link w:val="CommentTextChar"/>
    <w:uiPriority w:val="99"/>
    <w:unhideWhenUsed/>
    <w:rsid w:val="00DB6D38"/>
    <w:pPr>
      <w:spacing w:line="240" w:lineRule="auto"/>
    </w:pPr>
    <w:rPr>
      <w:sz w:val="20"/>
      <w:szCs w:val="20"/>
    </w:rPr>
  </w:style>
  <w:style w:type="character" w:customStyle="1" w:styleId="CommentTextChar">
    <w:name w:val="Comment Text Char"/>
    <w:basedOn w:val="DefaultParagraphFont"/>
    <w:link w:val="CommentText"/>
    <w:uiPriority w:val="99"/>
    <w:rsid w:val="00DB6D38"/>
    <w:rPr>
      <w:sz w:val="20"/>
      <w:szCs w:val="20"/>
    </w:rPr>
  </w:style>
  <w:style w:type="paragraph" w:styleId="CommentSubject">
    <w:name w:val="annotation subject"/>
    <w:basedOn w:val="CommentText"/>
    <w:next w:val="CommentText"/>
    <w:link w:val="CommentSubjectChar"/>
    <w:uiPriority w:val="99"/>
    <w:semiHidden/>
    <w:unhideWhenUsed/>
    <w:rsid w:val="00DB6D38"/>
    <w:rPr>
      <w:b/>
      <w:bCs/>
    </w:rPr>
  </w:style>
  <w:style w:type="character" w:customStyle="1" w:styleId="CommentSubjectChar">
    <w:name w:val="Comment Subject Char"/>
    <w:basedOn w:val="CommentTextChar"/>
    <w:link w:val="CommentSubject"/>
    <w:uiPriority w:val="99"/>
    <w:semiHidden/>
    <w:rsid w:val="00DB6D38"/>
    <w:rPr>
      <w:b/>
      <w:bCs/>
      <w:sz w:val="20"/>
      <w:szCs w:val="20"/>
    </w:rPr>
  </w:style>
  <w:style w:type="character" w:customStyle="1" w:styleId="ListParagraphChar">
    <w:name w:val="List Paragraph Char"/>
    <w:aliases w:val="Table of contents numbered Char"/>
    <w:link w:val="ListParagraph"/>
    <w:uiPriority w:val="34"/>
    <w:rsid w:val="00976B88"/>
  </w:style>
  <w:style w:type="paragraph" w:customStyle="1" w:styleId="TableText">
    <w:name w:val="Table Text"/>
    <w:link w:val="TableTextChar"/>
    <w:rsid w:val="00976B88"/>
    <w:pPr>
      <w:spacing w:before="60" w:after="60" w:line="240" w:lineRule="atLeast"/>
    </w:pPr>
    <w:rPr>
      <w:rFonts w:ascii="Arial" w:eastAsia="Times" w:hAnsi="Arial" w:cs="Times New Roman"/>
      <w:sz w:val="18"/>
      <w:szCs w:val="18"/>
      <w:lang w:eastAsia="en-GB"/>
    </w:rPr>
  </w:style>
  <w:style w:type="character" w:customStyle="1" w:styleId="TableTextChar">
    <w:name w:val="Table Text Char"/>
    <w:link w:val="TableText"/>
    <w:rsid w:val="00976B88"/>
    <w:rPr>
      <w:rFonts w:ascii="Arial" w:eastAsia="Times" w:hAnsi="Arial" w:cs="Times New Roman"/>
      <w:sz w:val="18"/>
      <w:szCs w:val="18"/>
      <w:lang w:eastAsia="en-GB"/>
    </w:rPr>
  </w:style>
  <w:style w:type="character" w:styleId="FollowedHyperlink">
    <w:name w:val="FollowedHyperlink"/>
    <w:basedOn w:val="DefaultParagraphFont"/>
    <w:uiPriority w:val="99"/>
    <w:semiHidden/>
    <w:unhideWhenUsed/>
    <w:rsid w:val="00484785"/>
    <w:rPr>
      <w:color w:val="954F72" w:themeColor="followedHyperlink"/>
      <w:u w:val="single"/>
    </w:rPr>
  </w:style>
  <w:style w:type="paragraph" w:styleId="Revision">
    <w:name w:val="Revision"/>
    <w:hidden/>
    <w:uiPriority w:val="99"/>
    <w:semiHidden/>
    <w:rsid w:val="005C5F78"/>
    <w:pPr>
      <w:spacing w:after="0" w:line="240" w:lineRule="auto"/>
    </w:pPr>
  </w:style>
  <w:style w:type="character" w:customStyle="1" w:styleId="Heading1Char">
    <w:name w:val="Heading 1 Char"/>
    <w:basedOn w:val="DefaultParagraphFont"/>
    <w:link w:val="Heading1"/>
    <w:uiPriority w:val="9"/>
    <w:rsid w:val="001A69BA"/>
    <w:rPr>
      <w:rFonts w:ascii="Arial" w:eastAsiaTheme="majorEastAsia" w:hAnsi="Arial" w:cstheme="majorBidi"/>
      <w:b/>
      <w:bCs/>
      <w:sz w:val="28"/>
      <w:szCs w:val="28"/>
      <w:lang w:val="en-US"/>
    </w:rPr>
  </w:style>
  <w:style w:type="character" w:customStyle="1" w:styleId="Heading2Char">
    <w:name w:val="Heading 2 Char"/>
    <w:basedOn w:val="DefaultParagraphFont"/>
    <w:link w:val="Heading2"/>
    <w:uiPriority w:val="9"/>
    <w:rsid w:val="001A69BA"/>
    <w:rPr>
      <w:rFonts w:ascii="Arial" w:eastAsiaTheme="majorEastAsia" w:hAnsi="Arial" w:cstheme="majorBidi"/>
      <w:b/>
      <w:bCs/>
      <w:sz w:val="26"/>
      <w:szCs w:val="26"/>
      <w:lang w:val="en-US"/>
    </w:rPr>
  </w:style>
  <w:style w:type="paragraph" w:styleId="NoSpacing">
    <w:name w:val="No Spacing"/>
    <w:link w:val="NoSpacingChar"/>
    <w:uiPriority w:val="1"/>
    <w:qFormat/>
    <w:rsid w:val="009F4CA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F4CA6"/>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p-caledoniamining-2020.s3.eu-west-2.amazonaws.com/media/2021/11/Supplier-Charter.pdf" TargetMode="External"/><Relationship Id="rId18" Type="http://schemas.openxmlformats.org/officeDocument/2006/relationships/hyperlink" Target="https://www.caledoniamining.com/wp-content/uploads/2020/02/Blanket-Mine-CSR.pdf" TargetMode="External"/><Relationship Id="rId26" Type="http://schemas.openxmlformats.org/officeDocument/2006/relationships/hyperlink" Target="https://www.caledoniamining.com/about/corporate-governance/" TargetMode="External"/><Relationship Id="rId3" Type="http://schemas.openxmlformats.org/officeDocument/2006/relationships/styles" Target="styles.xml"/><Relationship Id="rId21" Type="http://schemas.openxmlformats.org/officeDocument/2006/relationships/hyperlink" Target="mailto:camillahorsfall@caledoniamining.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p-caledoniamining-2020.s3.eu-west-2.amazonaws.com/media/2020/11/13181132/CODE-OF-BUSINESS-CONDUCT-ETHICS-AND-ANTI-BRIBERY-POLICY-updates-2020.pdf" TargetMode="External"/><Relationship Id="rId17" Type="http://schemas.openxmlformats.org/officeDocument/2006/relationships/hyperlink" Target="mailto:camillahorsfall@caledoniamining.com" TargetMode="External"/><Relationship Id="rId25" Type="http://schemas.openxmlformats.org/officeDocument/2006/relationships/hyperlink" Target="https://www.caledoniamining.com/investors/shareholder-information/"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caledoniamining.com" TargetMode="External"/><Relationship Id="rId20" Type="http://schemas.openxmlformats.org/officeDocument/2006/relationships/hyperlink" Target="mailto:mauricemason@caledoniamining.com" TargetMode="External"/><Relationship Id="rId29" Type="http://schemas.openxmlformats.org/officeDocument/2006/relationships/hyperlink" Target="https://wp-caledoniamining-2020.s3.eu-west-2.amazonaws.com/media/2020/11/CHARTER-OF-THE-COMPENSATION-COMMITTEE-updates-2023-2-clean-ADOPTE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ledoniamining.com/investors/regulatory-news-alerts/" TargetMode="External"/><Relationship Id="rId24" Type="http://schemas.openxmlformats.org/officeDocument/2006/relationships/hyperlink" Target="https://www.caledoniamining.com/about/corporate-governanc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aledoniamining.com/investors/shareholder-information/" TargetMode="External"/><Relationship Id="rId23" Type="http://schemas.openxmlformats.org/officeDocument/2006/relationships/hyperlink" Target="https://www.caledoniamining.com/about/directors-management/" TargetMode="External"/><Relationship Id="rId28" Type="http://schemas.openxmlformats.org/officeDocument/2006/relationships/hyperlink" Target="https://wp-caledoniamining-2020.s3.eu-west-2.amazonaws.com/media/2023/11/CHARTER-OF-THE-NOMINATION-AND-CORPORATE-GOVERNANCE-COMMITTEE-2023-DRAFT-1-CLEAN-ADOPTED-1.pdf" TargetMode="External"/><Relationship Id="rId10" Type="http://schemas.openxmlformats.org/officeDocument/2006/relationships/hyperlink" Target="https://www.caledoniamining.com/investors/reports-presentations/" TargetMode="External"/><Relationship Id="rId19" Type="http://schemas.openxmlformats.org/officeDocument/2006/relationships/hyperlink" Target="https://www.caledoniamining.com/esg/esg-reports/" TargetMode="External"/><Relationship Id="rId31" Type="http://schemas.openxmlformats.org/officeDocument/2006/relationships/hyperlink" Target="https://www.caledoniamining.com/investors/regulatory-news-alerts/" TargetMode="External"/><Relationship Id="rId4" Type="http://schemas.openxmlformats.org/officeDocument/2006/relationships/settings" Target="settings.xml"/><Relationship Id="rId9" Type="http://schemas.openxmlformats.org/officeDocument/2006/relationships/hyperlink" Target="https://www.caledoniamining.com/investors/technical-reports/" TargetMode="External"/><Relationship Id="rId14" Type="http://schemas.openxmlformats.org/officeDocument/2006/relationships/hyperlink" Target="https://www.caledoniamining.com/investors/esg-report/" TargetMode="External"/><Relationship Id="rId22" Type="http://schemas.openxmlformats.org/officeDocument/2006/relationships/hyperlink" Target="https://wp-caledoniamining-2020.s3.eu-west-2.amazonaws.com/media/2025/05/2024-20-F.pdf" TargetMode="External"/><Relationship Id="rId27" Type="http://schemas.openxmlformats.org/officeDocument/2006/relationships/hyperlink" Target="https://www.caledoniamining.com/about/corporate-governance/" TargetMode="External"/><Relationship Id="rId30" Type="http://schemas.openxmlformats.org/officeDocument/2006/relationships/hyperlink" Target="https://www.caledoniamining.com/investors/shareholder-information/" TargetMode="Externa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F1063-A74A-40CA-864A-5AB6A79B5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7582</Words>
  <Characters>40337</Characters>
  <Application>Microsoft Office Word</Application>
  <DocSecurity>0</DocSecurity>
  <Lines>916</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Chester</dc:creator>
  <cp:keywords/>
  <dc:description/>
  <cp:lastModifiedBy>Adam Chester</cp:lastModifiedBy>
  <cp:revision>11</cp:revision>
  <dcterms:created xsi:type="dcterms:W3CDTF">2026-03-19T19:37:00Z</dcterms:created>
  <dcterms:modified xsi:type="dcterms:W3CDTF">2026-03-19T19:49:00Z</dcterms:modified>
</cp:coreProperties>
</file>